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B7DCA" w14:textId="20524BED" w:rsidR="7085A547" w:rsidRPr="00336A58" w:rsidRDefault="00336A58" w:rsidP="00336A58">
      <w:pPr>
        <w:pStyle w:val="NoSpacing"/>
        <w:jc w:val="right"/>
      </w:pPr>
      <w:r w:rsidRPr="00336A58">
        <w:t xml:space="preserve">July </w:t>
      </w:r>
      <w:r w:rsidR="00C92693">
        <w:t>8</w:t>
      </w:r>
      <w:r w:rsidRPr="00336A58">
        <w:t>, 2022</w:t>
      </w:r>
    </w:p>
    <w:p w14:paraId="3F305C2E" w14:textId="5471D303" w:rsidR="00336A58" w:rsidRDefault="00336A58" w:rsidP="00336A58">
      <w:pPr>
        <w:pStyle w:val="NoSpacing"/>
      </w:pPr>
      <w:r>
        <w:t>To: Kramer Consulting and Ross Strategic</w:t>
      </w:r>
    </w:p>
    <w:p w14:paraId="2DB90F94" w14:textId="4F7DAE42" w:rsidR="00336A58" w:rsidRDefault="00336A58" w:rsidP="00336A58">
      <w:pPr>
        <w:pStyle w:val="NoSpacing"/>
      </w:pPr>
      <w:r>
        <w:t>Re: Draft LSRD Benefit Replacement Study</w:t>
      </w:r>
    </w:p>
    <w:p w14:paraId="2392EE46" w14:textId="79F80368" w:rsidR="00336A58" w:rsidRPr="00336A58" w:rsidRDefault="00336A58" w:rsidP="00336A58">
      <w:pPr>
        <w:pStyle w:val="NoSpacing"/>
        <w:rPr>
          <w:i/>
          <w:iCs/>
        </w:rPr>
      </w:pPr>
      <w:r w:rsidRPr="00336A58">
        <w:rPr>
          <w:i/>
          <w:iCs/>
        </w:rPr>
        <w:t>Delivered via email to info@lsrdoptions.org</w:t>
      </w:r>
    </w:p>
    <w:p w14:paraId="346E911E" w14:textId="3AA7A544" w:rsidR="00F85EF0" w:rsidRDefault="00F85EF0" w:rsidP="00F85EF0"/>
    <w:p w14:paraId="4C7BFE8A" w14:textId="73A4546C" w:rsidR="00336A58" w:rsidRDefault="00336A58" w:rsidP="00F85EF0">
      <w:r>
        <w:t>Dear Mr. Kramer,</w:t>
      </w:r>
    </w:p>
    <w:p w14:paraId="76A913DB" w14:textId="6652C077" w:rsidR="00823781" w:rsidRDefault="009A7CAC" w:rsidP="00F85EF0">
      <w:pPr>
        <w:rPr>
          <w:b/>
          <w:bCs/>
        </w:rPr>
      </w:pPr>
      <w:r>
        <w:t>The</w:t>
      </w:r>
      <w:r w:rsidR="00C77857" w:rsidRPr="3A2E3878">
        <w:t xml:space="preserve"> “Lower Snake River Dams: Benefit Replacement Draft Report</w:t>
      </w:r>
      <w:r>
        <w:t>,</w:t>
      </w:r>
      <w:r w:rsidR="00C77857" w:rsidRPr="3A2E3878">
        <w:t>”</w:t>
      </w:r>
      <w:r w:rsidR="4BFF220C" w:rsidRPr="3A2E3878">
        <w:t xml:space="preserve"> Chapter 7, titled “Energy Replacement</w:t>
      </w:r>
      <w:r>
        <w:t>,</w:t>
      </w:r>
      <w:r w:rsidR="4BFF220C" w:rsidRPr="3A2E3878">
        <w:t xml:space="preserve">” </w:t>
      </w:r>
      <w:r w:rsidR="005A4DCD">
        <w:t>confirms</w:t>
      </w:r>
      <w:r w:rsidR="4BFF220C" w:rsidRPr="3A2E3878">
        <w:t xml:space="preserve"> </w:t>
      </w:r>
      <w:r w:rsidR="005A4DCD">
        <w:t>that</w:t>
      </w:r>
      <w:r w:rsidR="4BFF220C" w:rsidRPr="3A2E3878">
        <w:t xml:space="preserve"> we can replace and </w:t>
      </w:r>
      <w:r w:rsidR="4BFF220C" w:rsidRPr="3A2E3878">
        <w:rPr>
          <w:i/>
          <w:iCs/>
        </w:rPr>
        <w:t xml:space="preserve">improve </w:t>
      </w:r>
      <w:r w:rsidR="4BFF220C" w:rsidRPr="3A2E3878">
        <w:t xml:space="preserve">the energy services of the lower Snake River dams (LSRD) with smart planning and adequate funding. </w:t>
      </w:r>
    </w:p>
    <w:p w14:paraId="667C005D" w14:textId="2EE4B364" w:rsidR="00CC4359" w:rsidRDefault="4BFF220C" w:rsidP="00F85EF0">
      <w:r w:rsidRPr="3A2E3878">
        <w:t xml:space="preserve">The </w:t>
      </w:r>
      <w:r w:rsidR="007C6A58">
        <w:t xml:space="preserve">draft </w:t>
      </w:r>
      <w:r w:rsidRPr="3A2E3878">
        <w:t>report highlights that there</w:t>
      </w:r>
      <w:r w:rsidR="005A4DCD">
        <w:t xml:space="preserve"> i</w:t>
      </w:r>
      <w:r w:rsidRPr="3A2E3878">
        <w:t xml:space="preserve">s sufficient </w:t>
      </w:r>
      <w:r w:rsidR="009A7CAC">
        <w:t>information available now</w:t>
      </w:r>
      <w:r w:rsidRPr="3A2E3878">
        <w:t xml:space="preserve"> to </w:t>
      </w:r>
      <w:r w:rsidR="00CC4359">
        <w:t>make</w:t>
      </w:r>
      <w:r w:rsidRPr="3A2E3878">
        <w:t xml:space="preserve"> a regional decision </w:t>
      </w:r>
      <w:r w:rsidR="009A7CAC">
        <w:t>in favor of</w:t>
      </w:r>
      <w:r w:rsidRPr="3A2E3878">
        <w:t xml:space="preserve"> retiring the LSRD from service</w:t>
      </w:r>
      <w:r w:rsidR="00CC4359">
        <w:t xml:space="preserve">, and that doing so is less expensive than the status quo. Each analysis cited by the </w:t>
      </w:r>
      <w:r w:rsidR="007C6A58">
        <w:t xml:space="preserve">draft </w:t>
      </w:r>
      <w:r w:rsidR="00CC4359">
        <w:t xml:space="preserve">report concluded that the energy services of the dams can be replaced with a portfolio of clean energy resources. The appropriate planning objective, </w:t>
      </w:r>
      <w:r w:rsidR="009A7CAC">
        <w:t xml:space="preserve">precise </w:t>
      </w:r>
      <w:r w:rsidR="00CC4359">
        <w:t xml:space="preserve">mix of resources, and </w:t>
      </w:r>
      <w:r w:rsidR="009A7CAC">
        <w:t xml:space="preserve">exact </w:t>
      </w:r>
      <w:r w:rsidR="00CC4359">
        <w:t xml:space="preserve">cost of development are important dimensions that future detailed study will define, but the </w:t>
      </w:r>
      <w:r w:rsidR="007C6A58">
        <w:t xml:space="preserve">draft </w:t>
      </w:r>
      <w:r w:rsidR="00CC4359">
        <w:t xml:space="preserve">report’s conclusion </w:t>
      </w:r>
      <w:r w:rsidR="009A7CAC">
        <w:t>that</w:t>
      </w:r>
      <w:r w:rsidR="007D6D29">
        <w:t xml:space="preserve"> </w:t>
      </w:r>
      <w:r w:rsidR="00CC4359">
        <w:t xml:space="preserve">replacement </w:t>
      </w:r>
      <w:r w:rsidR="009A7CAC">
        <w:t xml:space="preserve">is feasible with smart planning </w:t>
      </w:r>
      <w:r w:rsidR="007D6D29">
        <w:t>confirms that we can and should decide to move forward with replacing these dams and their services</w:t>
      </w:r>
      <w:r w:rsidR="00CC4359">
        <w:t>.</w:t>
      </w:r>
      <w:r w:rsidRPr="3A2E3878">
        <w:t xml:space="preserve"> </w:t>
      </w:r>
    </w:p>
    <w:p w14:paraId="31B49F7B" w14:textId="3C16A17D" w:rsidR="00823781" w:rsidRDefault="4BFF220C" w:rsidP="00F85EF0">
      <w:r w:rsidRPr="3A2E3878">
        <w:t xml:space="preserve">We agree with the draft report’s conclusions that: (1) the LSRD energy services can be replaced with an affordable, diverse portfolio of clean energy resources that should be in place prior to shutdown of the dams; and (2) </w:t>
      </w:r>
      <w:r w:rsidR="004F26FD">
        <w:t xml:space="preserve">constructing </w:t>
      </w:r>
      <w:r w:rsidRPr="3A2E3878">
        <w:t>the replacement resource portfolio can address the seasonal limitations of LSRD performance and improve value for the overall Northwest power system, especially in late summer when lower Snake River flows will decrease under the influence of climate change.</w:t>
      </w:r>
    </w:p>
    <w:p w14:paraId="5F03FBB4" w14:textId="6C43A588" w:rsidR="00823781" w:rsidRDefault="4BFF220C" w:rsidP="00F85EF0">
      <w:r w:rsidRPr="3A2E3878">
        <w:t>The major shortcoming of the draft</w:t>
      </w:r>
      <w:r w:rsidR="004F26FD">
        <w:t xml:space="preserve"> report</w:t>
      </w:r>
      <w:r w:rsidRPr="3A2E3878">
        <w:t xml:space="preserve"> is that it </w:t>
      </w:r>
      <w:r w:rsidR="007D6D29">
        <w:t xml:space="preserve">fails to provide a 50-year </w:t>
      </w:r>
      <w:r w:rsidRPr="3A2E3878">
        <w:t xml:space="preserve">cost </w:t>
      </w:r>
      <w:r w:rsidR="00760F97">
        <w:t xml:space="preserve">and risk </w:t>
      </w:r>
      <w:r w:rsidRPr="3A2E3878">
        <w:t xml:space="preserve">comparison between keeping the LSRD and replacing them with a clean energy portfolio. Without </w:t>
      </w:r>
      <w:r w:rsidR="007D6D29">
        <w:t>this information</w:t>
      </w:r>
      <w:r w:rsidRPr="3A2E3878">
        <w:t xml:space="preserve">, decision-makers and the public </w:t>
      </w:r>
      <w:r w:rsidR="007D6D29">
        <w:t>are left with an incomplete picture</w:t>
      </w:r>
      <w:r w:rsidRPr="3A2E3878">
        <w:t xml:space="preserve"> of clean energy net benefits, including increased protection for salmon and other fish and wildlife, and improvements to </w:t>
      </w:r>
      <w:r w:rsidR="00C77857">
        <w:t xml:space="preserve">the value and performance of the </w:t>
      </w:r>
      <w:r w:rsidRPr="3A2E3878">
        <w:t xml:space="preserve">Northwest power system. </w:t>
      </w:r>
      <w:r w:rsidR="00DB03EA" w:rsidRPr="00DB03EA">
        <w:t>Even apart from the billions of dollars the region has spent on insufficient measures and the billions more the region will spend over the next 50 years if we keep the dams, we know that the benefits of breaching the dams substantially exceed the benefits of keeping them. The science is clear that keeping the dams will lead to salmon extinction and breaching them will not. Dam breaching is the key to restoring wild salmon and steelhead to abundance, alongside other necessary measures</w:t>
      </w:r>
      <w:r w:rsidR="00DB03EA">
        <w:t>.</w:t>
      </w:r>
    </w:p>
    <w:p w14:paraId="4AA6FB24" w14:textId="498F83F1" w:rsidR="0039172D" w:rsidRDefault="009A7CAC" w:rsidP="00F85EF0">
      <w:r>
        <w:t>T</w:t>
      </w:r>
      <w:r w:rsidR="0039172D" w:rsidRPr="3A2E3878">
        <w:t xml:space="preserve">he high-end cost estimates the </w:t>
      </w:r>
      <w:r w:rsidR="0039172D">
        <w:t xml:space="preserve">draft </w:t>
      </w:r>
      <w:r w:rsidR="0039172D" w:rsidRPr="3A2E3878">
        <w:t xml:space="preserve">report provides for replacement power </w:t>
      </w:r>
      <w:r w:rsidR="0039172D">
        <w:t xml:space="preserve">are founded on analysis </w:t>
      </w:r>
      <w:r>
        <w:t xml:space="preserve">from the </w:t>
      </w:r>
      <w:r w:rsidRPr="4BFF220C">
        <w:rPr>
          <w:rFonts w:ascii="Calibri" w:eastAsia="Calibri" w:hAnsi="Calibri" w:cs="Calibri"/>
          <w:color w:val="000000" w:themeColor="text1"/>
        </w:rPr>
        <w:t>C</w:t>
      </w:r>
      <w:r>
        <w:rPr>
          <w:rFonts w:ascii="Calibri" w:eastAsia="Calibri" w:hAnsi="Calibri" w:cs="Calibri"/>
          <w:color w:val="000000" w:themeColor="text1"/>
        </w:rPr>
        <w:t xml:space="preserve">olumbia </w:t>
      </w:r>
      <w:r w:rsidRPr="4BFF220C">
        <w:rPr>
          <w:rFonts w:ascii="Calibri" w:eastAsia="Calibri" w:hAnsi="Calibri" w:cs="Calibri"/>
          <w:color w:val="000000" w:themeColor="text1"/>
        </w:rPr>
        <w:t>R</w:t>
      </w:r>
      <w:r>
        <w:rPr>
          <w:rFonts w:ascii="Calibri" w:eastAsia="Calibri" w:hAnsi="Calibri" w:cs="Calibri"/>
          <w:color w:val="000000" w:themeColor="text1"/>
        </w:rPr>
        <w:t xml:space="preserve">iver </w:t>
      </w:r>
      <w:r w:rsidRPr="4BFF220C">
        <w:rPr>
          <w:rFonts w:ascii="Calibri" w:eastAsia="Calibri" w:hAnsi="Calibri" w:cs="Calibri"/>
          <w:color w:val="000000" w:themeColor="text1"/>
        </w:rPr>
        <w:t>S</w:t>
      </w:r>
      <w:r>
        <w:rPr>
          <w:rFonts w:ascii="Calibri" w:eastAsia="Calibri" w:hAnsi="Calibri" w:cs="Calibri"/>
          <w:color w:val="000000" w:themeColor="text1"/>
        </w:rPr>
        <w:t xml:space="preserve">ystem </w:t>
      </w:r>
      <w:r w:rsidRPr="4BFF220C">
        <w:rPr>
          <w:rFonts w:ascii="Calibri" w:eastAsia="Calibri" w:hAnsi="Calibri" w:cs="Calibri"/>
          <w:color w:val="000000" w:themeColor="text1"/>
        </w:rPr>
        <w:t>O</w:t>
      </w:r>
      <w:r>
        <w:rPr>
          <w:rFonts w:ascii="Calibri" w:eastAsia="Calibri" w:hAnsi="Calibri" w:cs="Calibri"/>
          <w:color w:val="000000" w:themeColor="text1"/>
        </w:rPr>
        <w:t>perations</w:t>
      </w:r>
      <w:r w:rsidRPr="4BFF220C">
        <w:rPr>
          <w:rFonts w:ascii="Calibri" w:eastAsia="Calibri" w:hAnsi="Calibri" w:cs="Calibri"/>
          <w:color w:val="000000" w:themeColor="text1"/>
        </w:rPr>
        <w:t xml:space="preserve"> E</w:t>
      </w:r>
      <w:r>
        <w:rPr>
          <w:rFonts w:ascii="Calibri" w:eastAsia="Calibri" w:hAnsi="Calibri" w:cs="Calibri"/>
          <w:color w:val="000000" w:themeColor="text1"/>
        </w:rPr>
        <w:t xml:space="preserve">nvironmental </w:t>
      </w:r>
      <w:r w:rsidRPr="4BFF220C">
        <w:rPr>
          <w:rFonts w:ascii="Calibri" w:eastAsia="Calibri" w:hAnsi="Calibri" w:cs="Calibri"/>
          <w:color w:val="000000" w:themeColor="text1"/>
        </w:rPr>
        <w:t>I</w:t>
      </w:r>
      <w:r>
        <w:rPr>
          <w:rFonts w:ascii="Calibri" w:eastAsia="Calibri" w:hAnsi="Calibri" w:cs="Calibri"/>
          <w:color w:val="000000" w:themeColor="text1"/>
        </w:rPr>
        <w:t xml:space="preserve">mpact </w:t>
      </w:r>
      <w:r w:rsidRPr="4BFF220C">
        <w:rPr>
          <w:rFonts w:ascii="Calibri" w:eastAsia="Calibri" w:hAnsi="Calibri" w:cs="Calibri"/>
          <w:color w:val="000000" w:themeColor="text1"/>
        </w:rPr>
        <w:t>S</w:t>
      </w:r>
      <w:r>
        <w:rPr>
          <w:rFonts w:ascii="Calibri" w:eastAsia="Calibri" w:hAnsi="Calibri" w:cs="Calibri"/>
          <w:color w:val="000000" w:themeColor="text1"/>
        </w:rPr>
        <w:t xml:space="preserve">tatement’s (CRSO EIS) completed during the previous administration </w:t>
      </w:r>
      <w:r w:rsidR="0039172D">
        <w:t xml:space="preserve">that’s been sharply criticized </w:t>
      </w:r>
      <w:r>
        <w:t>and is currently the subject of active litigation</w:t>
      </w:r>
      <w:r w:rsidR="0039172D">
        <w:t xml:space="preserve">. In 2020, NW Energy Coalition, Idaho Conservation League, and other conservation groups </w:t>
      </w:r>
      <w:r w:rsidR="0039172D">
        <w:lastRenderedPageBreak/>
        <w:t xml:space="preserve">submitted comments on the draft </w:t>
      </w:r>
      <w:r w:rsidR="0039172D">
        <w:rPr>
          <w:rFonts w:ascii="Calibri" w:eastAsia="Calibri" w:hAnsi="Calibri" w:cs="Calibri"/>
          <w:color w:val="000000" w:themeColor="text1"/>
        </w:rPr>
        <w:t>CRSO EIS which were not satisfactorily addressed in the final EIS. Failures of this analysis, among other problems, became the basis for current litigation over the CRSO EIS. We have attached our comments on the draft 2020 CRSO EIS.</w:t>
      </w:r>
    </w:p>
    <w:p w14:paraId="363132E9" w14:textId="1E6219AD" w:rsidR="00823781" w:rsidRDefault="4BFF220C" w:rsidP="00F85EF0">
      <w:r>
        <w:t>Below is a detailed analysis of each section of Chapter 7 of the draft report, “Energy Replacement.”</w:t>
      </w:r>
      <w:r>
        <w:br/>
      </w:r>
    </w:p>
    <w:p w14:paraId="7E76EFCE" w14:textId="2410975E" w:rsidR="00C77857" w:rsidRPr="008D22B9" w:rsidRDefault="4BFF220C" w:rsidP="3A2E3878">
      <w:pPr>
        <w:rPr>
          <w:b/>
          <w:bCs/>
        </w:rPr>
      </w:pPr>
      <w:r w:rsidRPr="008D22B9">
        <w:rPr>
          <w:b/>
          <w:bCs/>
        </w:rPr>
        <w:t>Existing Services of the LSRD</w:t>
      </w:r>
    </w:p>
    <w:p w14:paraId="018CC6E9" w14:textId="25697C00" w:rsidR="00823781" w:rsidRDefault="4BFF220C" w:rsidP="3A2E3878">
      <w:pPr>
        <w:rPr>
          <w:rFonts w:ascii="Calibri" w:eastAsia="Calibri" w:hAnsi="Calibri" w:cs="Calibri"/>
          <w:color w:val="000000" w:themeColor="text1"/>
        </w:rPr>
      </w:pPr>
      <w:r w:rsidRPr="3A2E3878">
        <w:rPr>
          <w:rFonts w:ascii="Calibri" w:eastAsia="Calibri" w:hAnsi="Calibri" w:cs="Calibri"/>
          <w:color w:val="000000" w:themeColor="text1"/>
        </w:rPr>
        <w:t xml:space="preserve">The </w:t>
      </w:r>
      <w:r w:rsidR="008D22B9">
        <w:rPr>
          <w:rFonts w:ascii="Calibri" w:eastAsia="Calibri" w:hAnsi="Calibri" w:cs="Calibri"/>
          <w:color w:val="000000" w:themeColor="text1"/>
        </w:rPr>
        <w:t xml:space="preserve">draft </w:t>
      </w:r>
      <w:r w:rsidRPr="3A2E3878">
        <w:rPr>
          <w:rFonts w:ascii="Calibri" w:eastAsia="Calibri" w:hAnsi="Calibri" w:cs="Calibri"/>
          <w:color w:val="000000" w:themeColor="text1"/>
        </w:rPr>
        <w:t xml:space="preserve">report provides a general summary of the existing energy services of the LSRD and shows how climate change </w:t>
      </w:r>
      <w:r w:rsidR="008D22B9">
        <w:rPr>
          <w:rFonts w:ascii="Calibri" w:eastAsia="Calibri" w:hAnsi="Calibri" w:cs="Calibri"/>
          <w:color w:val="000000" w:themeColor="text1"/>
        </w:rPr>
        <w:t xml:space="preserve">and legal challenges </w:t>
      </w:r>
      <w:r w:rsidRPr="3A2E3878">
        <w:rPr>
          <w:rFonts w:ascii="Calibri" w:eastAsia="Calibri" w:hAnsi="Calibri" w:cs="Calibri"/>
          <w:color w:val="000000" w:themeColor="text1"/>
        </w:rPr>
        <w:t xml:space="preserve">will constrain </w:t>
      </w:r>
      <w:r w:rsidR="00AE25BA">
        <w:rPr>
          <w:rFonts w:ascii="Calibri" w:eastAsia="Calibri" w:hAnsi="Calibri" w:cs="Calibri"/>
          <w:color w:val="000000" w:themeColor="text1"/>
        </w:rPr>
        <w:t>their value</w:t>
      </w:r>
      <w:r w:rsidRPr="3A2E3878">
        <w:rPr>
          <w:rFonts w:ascii="Calibri" w:eastAsia="Calibri" w:hAnsi="Calibri" w:cs="Calibri"/>
          <w:color w:val="000000" w:themeColor="text1"/>
        </w:rPr>
        <w:t xml:space="preserve"> </w:t>
      </w:r>
      <w:r w:rsidR="008D22B9">
        <w:rPr>
          <w:rFonts w:ascii="Calibri" w:eastAsia="Calibri" w:hAnsi="Calibri" w:cs="Calibri"/>
          <w:color w:val="000000" w:themeColor="text1"/>
        </w:rPr>
        <w:t>in the future</w:t>
      </w:r>
      <w:r w:rsidRPr="3A2E3878">
        <w:rPr>
          <w:rFonts w:ascii="Calibri" w:eastAsia="Calibri" w:hAnsi="Calibri" w:cs="Calibri"/>
          <w:color w:val="000000" w:themeColor="text1"/>
        </w:rPr>
        <w:t xml:space="preserve">. The evidence summarized in the </w:t>
      </w:r>
      <w:r w:rsidR="007C6A58">
        <w:rPr>
          <w:rFonts w:ascii="Calibri" w:eastAsia="Calibri" w:hAnsi="Calibri" w:cs="Calibri"/>
          <w:color w:val="000000" w:themeColor="text1"/>
        </w:rPr>
        <w:t xml:space="preserve">draft </w:t>
      </w:r>
      <w:r w:rsidRPr="3A2E3878">
        <w:rPr>
          <w:rFonts w:ascii="Calibri" w:eastAsia="Calibri" w:hAnsi="Calibri" w:cs="Calibri"/>
          <w:color w:val="000000" w:themeColor="text1"/>
        </w:rPr>
        <w:t>repor</w:t>
      </w:r>
      <w:r w:rsidR="00413141">
        <w:rPr>
          <w:rFonts w:ascii="Calibri" w:eastAsia="Calibri" w:hAnsi="Calibri" w:cs="Calibri"/>
          <w:color w:val="000000" w:themeColor="text1"/>
        </w:rPr>
        <w:t xml:space="preserve">t </w:t>
      </w:r>
      <w:r w:rsidRPr="3A2E3878">
        <w:rPr>
          <w:rFonts w:ascii="Calibri" w:eastAsia="Calibri" w:hAnsi="Calibri" w:cs="Calibri"/>
          <w:color w:val="000000" w:themeColor="text1"/>
        </w:rPr>
        <w:t>shows that while the dams provide valuable services, the</w:t>
      </w:r>
      <w:r w:rsidR="00D07157">
        <w:rPr>
          <w:rFonts w:ascii="Calibri" w:eastAsia="Calibri" w:hAnsi="Calibri" w:cs="Calibri"/>
          <w:color w:val="000000" w:themeColor="text1"/>
        </w:rPr>
        <w:t>se services</w:t>
      </w:r>
      <w:r w:rsidRPr="3A2E3878">
        <w:rPr>
          <w:rFonts w:ascii="Calibri" w:eastAsia="Calibri" w:hAnsi="Calibri" w:cs="Calibri"/>
          <w:color w:val="000000" w:themeColor="text1"/>
        </w:rPr>
        <w:t xml:space="preserve"> are more limited than is </w:t>
      </w:r>
      <w:r w:rsidR="00D07157">
        <w:rPr>
          <w:rFonts w:ascii="Calibri" w:eastAsia="Calibri" w:hAnsi="Calibri" w:cs="Calibri"/>
          <w:color w:val="000000" w:themeColor="text1"/>
        </w:rPr>
        <w:t>commonly understood</w:t>
      </w:r>
      <w:r w:rsidRPr="3A2E3878">
        <w:rPr>
          <w:rFonts w:ascii="Calibri" w:eastAsia="Calibri" w:hAnsi="Calibri" w:cs="Calibri"/>
          <w:color w:val="000000" w:themeColor="text1"/>
        </w:rPr>
        <w:t>.</w:t>
      </w:r>
      <w:r w:rsidR="00413141">
        <w:rPr>
          <w:rFonts w:ascii="Calibri" w:eastAsia="Calibri" w:hAnsi="Calibri" w:cs="Calibri"/>
          <w:color w:val="000000" w:themeColor="text1"/>
        </w:rPr>
        <w:t xml:space="preserve"> If four additional facts, detailed below, are considered, the value is even further reduced.</w:t>
      </w:r>
    </w:p>
    <w:p w14:paraId="11116DF4" w14:textId="5789F37E" w:rsidR="00823781" w:rsidRDefault="4BFF220C" w:rsidP="3A2E3878">
      <w:pPr>
        <w:rPr>
          <w:rFonts w:ascii="Calibri" w:eastAsia="Calibri" w:hAnsi="Calibri" w:cs="Calibri"/>
          <w:color w:val="000000" w:themeColor="text1"/>
        </w:rPr>
      </w:pPr>
      <w:r w:rsidRPr="3A2E3878">
        <w:rPr>
          <w:rFonts w:ascii="Calibri" w:eastAsia="Calibri" w:hAnsi="Calibri" w:cs="Calibri"/>
          <w:color w:val="000000" w:themeColor="text1"/>
        </w:rPr>
        <w:t xml:space="preserve">First, while the </w:t>
      </w:r>
      <w:r w:rsidR="008D22B9">
        <w:rPr>
          <w:rFonts w:ascii="Calibri" w:eastAsia="Calibri" w:hAnsi="Calibri" w:cs="Calibri"/>
          <w:color w:val="000000" w:themeColor="text1"/>
        </w:rPr>
        <w:t xml:space="preserve">draft </w:t>
      </w:r>
      <w:r w:rsidRPr="3A2E3878">
        <w:rPr>
          <w:rFonts w:ascii="Calibri" w:eastAsia="Calibri" w:hAnsi="Calibri" w:cs="Calibri"/>
          <w:color w:val="000000" w:themeColor="text1"/>
        </w:rPr>
        <w:t xml:space="preserve">report does include both the </w:t>
      </w:r>
      <w:r w:rsidR="00C77857">
        <w:rPr>
          <w:rFonts w:ascii="Calibri" w:eastAsia="Calibri" w:hAnsi="Calibri" w:cs="Calibri"/>
          <w:color w:val="000000" w:themeColor="text1"/>
        </w:rPr>
        <w:t>cost of generation</w:t>
      </w:r>
      <w:r w:rsidRPr="3A2E3878">
        <w:rPr>
          <w:rFonts w:ascii="Calibri" w:eastAsia="Calibri" w:hAnsi="Calibri" w:cs="Calibri"/>
          <w:color w:val="000000" w:themeColor="text1"/>
        </w:rPr>
        <w:t xml:space="preserve"> and fully</w:t>
      </w:r>
      <w:r w:rsidR="00C77857">
        <w:rPr>
          <w:rFonts w:ascii="Calibri" w:eastAsia="Calibri" w:hAnsi="Calibri" w:cs="Calibri"/>
          <w:color w:val="000000" w:themeColor="text1"/>
        </w:rPr>
        <w:t>-</w:t>
      </w:r>
      <w:r w:rsidRPr="3A2E3878">
        <w:rPr>
          <w:rFonts w:ascii="Calibri" w:eastAsia="Calibri" w:hAnsi="Calibri" w:cs="Calibri"/>
          <w:color w:val="000000" w:themeColor="text1"/>
        </w:rPr>
        <w:t xml:space="preserve">loaded costs of the LSRD in Table 13, the cost of generation and fully-loaded costs are not the most current figures. </w:t>
      </w:r>
      <w:r w:rsidR="007C6A58">
        <w:rPr>
          <w:rFonts w:ascii="Calibri" w:eastAsia="Calibri" w:hAnsi="Calibri" w:cs="Calibri"/>
          <w:color w:val="000000" w:themeColor="text1"/>
        </w:rPr>
        <w:t>LSRD</w:t>
      </w:r>
      <w:r w:rsidRPr="3A2E3878">
        <w:rPr>
          <w:rFonts w:ascii="Calibri" w:eastAsia="Calibri" w:hAnsi="Calibri" w:cs="Calibri"/>
          <w:color w:val="000000" w:themeColor="text1"/>
        </w:rPr>
        <w:t xml:space="preserve"> costs </w:t>
      </w:r>
      <w:r w:rsidR="00C77857">
        <w:rPr>
          <w:rFonts w:ascii="Calibri" w:eastAsia="Calibri" w:hAnsi="Calibri" w:cs="Calibri"/>
          <w:color w:val="000000" w:themeColor="text1"/>
        </w:rPr>
        <w:t>increased</w:t>
      </w:r>
      <w:r w:rsidRPr="3A2E3878">
        <w:rPr>
          <w:rFonts w:ascii="Calibri" w:eastAsia="Calibri" w:hAnsi="Calibri" w:cs="Calibri"/>
          <w:color w:val="000000" w:themeColor="text1"/>
        </w:rPr>
        <w:t xml:space="preserve"> </w:t>
      </w:r>
      <w:r w:rsidR="00C77857">
        <w:rPr>
          <w:rFonts w:ascii="Calibri" w:eastAsia="Calibri" w:hAnsi="Calibri" w:cs="Calibri"/>
          <w:color w:val="000000" w:themeColor="text1"/>
        </w:rPr>
        <w:t>in</w:t>
      </w:r>
      <w:r w:rsidRPr="3A2E3878">
        <w:rPr>
          <w:rFonts w:ascii="Calibri" w:eastAsia="Calibri" w:hAnsi="Calibri" w:cs="Calibri"/>
          <w:color w:val="000000" w:themeColor="text1"/>
        </w:rPr>
        <w:t xml:space="preserve"> the most recent B</w:t>
      </w:r>
      <w:r w:rsidR="00C96CAD">
        <w:rPr>
          <w:rFonts w:ascii="Calibri" w:eastAsia="Calibri" w:hAnsi="Calibri" w:cs="Calibri"/>
          <w:color w:val="000000" w:themeColor="text1"/>
        </w:rPr>
        <w:t>onneville Power Administration (BPA)</w:t>
      </w:r>
      <w:r w:rsidRPr="3A2E3878">
        <w:rPr>
          <w:rFonts w:ascii="Calibri" w:eastAsia="Calibri" w:hAnsi="Calibri" w:cs="Calibri"/>
          <w:color w:val="000000" w:themeColor="text1"/>
        </w:rPr>
        <w:t xml:space="preserve"> rate case (BP-22)</w:t>
      </w:r>
      <w:r w:rsidR="00D07157">
        <w:rPr>
          <w:rStyle w:val="FootnoteReference"/>
          <w:rFonts w:ascii="Calibri" w:eastAsia="Calibri" w:hAnsi="Calibri" w:cs="Calibri"/>
          <w:color w:val="000000" w:themeColor="text1"/>
        </w:rPr>
        <w:footnoteReference w:id="1"/>
      </w:r>
      <w:r w:rsidRPr="3A2E3878">
        <w:rPr>
          <w:rFonts w:ascii="Calibri" w:eastAsia="Calibri" w:hAnsi="Calibri" w:cs="Calibri"/>
          <w:color w:val="000000" w:themeColor="text1"/>
        </w:rPr>
        <w:t>, indicating that the cost of generation at the LSRD is higher than at Headwaters projects, and significantly higher than at Mainstem Columbia projects.</w:t>
      </w:r>
    </w:p>
    <w:p w14:paraId="66CC3593" w14:textId="100CF532" w:rsidR="00823781" w:rsidRDefault="4BFF220C" w:rsidP="3A2E3878">
      <w:pPr>
        <w:rPr>
          <w:rFonts w:ascii="Calibri" w:eastAsia="Calibri" w:hAnsi="Calibri" w:cs="Calibri"/>
          <w:color w:val="000000" w:themeColor="text1"/>
        </w:rPr>
      </w:pPr>
      <w:r w:rsidRPr="3A2E3878">
        <w:rPr>
          <w:rFonts w:ascii="Calibri" w:eastAsia="Calibri" w:hAnsi="Calibri" w:cs="Calibri"/>
          <w:color w:val="000000" w:themeColor="text1"/>
        </w:rPr>
        <w:t xml:space="preserve">Furthermore, as mentioned above, Table 13 doesn't project the long-term cost of </w:t>
      </w:r>
      <w:r w:rsidR="00D07157">
        <w:rPr>
          <w:rFonts w:ascii="Calibri" w:eastAsia="Calibri" w:hAnsi="Calibri" w:cs="Calibri"/>
          <w:color w:val="000000" w:themeColor="text1"/>
        </w:rPr>
        <w:t xml:space="preserve">continued </w:t>
      </w:r>
      <w:r w:rsidRPr="3A2E3878">
        <w:rPr>
          <w:rFonts w:ascii="Calibri" w:eastAsia="Calibri" w:hAnsi="Calibri" w:cs="Calibri"/>
          <w:color w:val="000000" w:themeColor="text1"/>
        </w:rPr>
        <w:t>LSRD operation</w:t>
      </w:r>
      <w:r w:rsidR="00D07157">
        <w:rPr>
          <w:rFonts w:ascii="Calibri" w:eastAsia="Calibri" w:hAnsi="Calibri" w:cs="Calibri"/>
          <w:color w:val="000000" w:themeColor="text1"/>
        </w:rPr>
        <w:t xml:space="preserve"> over the next 50 years. </w:t>
      </w:r>
      <w:r w:rsidR="00B25839">
        <w:rPr>
          <w:rFonts w:ascii="Calibri" w:eastAsia="Calibri" w:hAnsi="Calibri" w:cs="Calibri"/>
          <w:color w:val="000000" w:themeColor="text1"/>
        </w:rPr>
        <w:t>Long-term c</w:t>
      </w:r>
      <w:r w:rsidR="00D07157">
        <w:rPr>
          <w:rFonts w:ascii="Calibri" w:eastAsia="Calibri" w:hAnsi="Calibri" w:cs="Calibri"/>
          <w:color w:val="000000" w:themeColor="text1"/>
        </w:rPr>
        <w:t>osts would</w:t>
      </w:r>
      <w:r w:rsidRPr="3A2E3878">
        <w:rPr>
          <w:rFonts w:ascii="Calibri" w:eastAsia="Calibri" w:hAnsi="Calibri" w:cs="Calibri"/>
          <w:color w:val="000000" w:themeColor="text1"/>
        </w:rPr>
        <w:t xml:space="preserve"> includ</w:t>
      </w:r>
      <w:r w:rsidR="00D07157">
        <w:rPr>
          <w:rFonts w:ascii="Calibri" w:eastAsia="Calibri" w:hAnsi="Calibri" w:cs="Calibri"/>
          <w:color w:val="000000" w:themeColor="text1"/>
        </w:rPr>
        <w:t>e</w:t>
      </w:r>
      <w:r w:rsidRPr="3A2E3878">
        <w:rPr>
          <w:rFonts w:ascii="Calibri" w:eastAsia="Calibri" w:hAnsi="Calibri" w:cs="Calibri"/>
          <w:color w:val="000000" w:themeColor="text1"/>
        </w:rPr>
        <w:t xml:space="preserve"> ongoing and future capital costs of LSRD energy generation, especially equipment replacement for facilities that have been in operation for 45 to 70 years</w:t>
      </w:r>
      <w:r w:rsidR="00D07157">
        <w:rPr>
          <w:rFonts w:ascii="Calibri" w:eastAsia="Calibri" w:hAnsi="Calibri" w:cs="Calibri"/>
          <w:color w:val="000000" w:themeColor="text1"/>
        </w:rPr>
        <w:t>, as well as the costs of maintaining other services, like navigation</w:t>
      </w:r>
      <w:r w:rsidRPr="3A2E3878">
        <w:rPr>
          <w:rFonts w:ascii="Calibri" w:eastAsia="Calibri" w:hAnsi="Calibri" w:cs="Calibri"/>
          <w:color w:val="000000" w:themeColor="text1"/>
        </w:rPr>
        <w:t>.</w:t>
      </w:r>
      <w:r w:rsidR="00987B2D">
        <w:rPr>
          <w:rFonts w:ascii="Calibri" w:eastAsia="Calibri" w:hAnsi="Calibri" w:cs="Calibri"/>
          <w:color w:val="000000" w:themeColor="text1"/>
        </w:rPr>
        <w:t xml:space="preserve"> Long-term costs would also include modifications to the dams and their operations in a changing climate to meet Washington water quality standards and reduce hot water pollution for salmon as required by law and recently affirmed by the Washington Pollution Control Hearings Board (PCHB).</w:t>
      </w:r>
    </w:p>
    <w:p w14:paraId="293A42EE" w14:textId="42943C2A" w:rsidR="00823781" w:rsidRDefault="4BFF220C" w:rsidP="3A2E3878">
      <w:pPr>
        <w:rPr>
          <w:rFonts w:ascii="Calibri" w:eastAsia="Calibri" w:hAnsi="Calibri" w:cs="Calibri"/>
          <w:color w:val="000000" w:themeColor="text1"/>
        </w:rPr>
      </w:pPr>
      <w:r w:rsidRPr="3A2E3878">
        <w:rPr>
          <w:rFonts w:ascii="Calibri" w:eastAsia="Calibri" w:hAnsi="Calibri" w:cs="Calibri"/>
          <w:color w:val="000000" w:themeColor="text1"/>
        </w:rPr>
        <w:t>Second,</w:t>
      </w:r>
      <w:r w:rsidR="00D07157">
        <w:rPr>
          <w:rFonts w:ascii="Calibri" w:eastAsia="Calibri" w:hAnsi="Calibri" w:cs="Calibri"/>
          <w:color w:val="000000" w:themeColor="text1"/>
        </w:rPr>
        <w:t xml:space="preserve"> the </w:t>
      </w:r>
      <w:r w:rsidR="008D22B9">
        <w:rPr>
          <w:rFonts w:ascii="Calibri" w:eastAsia="Calibri" w:hAnsi="Calibri" w:cs="Calibri"/>
          <w:color w:val="000000" w:themeColor="text1"/>
        </w:rPr>
        <w:t xml:space="preserve">draft </w:t>
      </w:r>
      <w:r w:rsidR="00D07157">
        <w:rPr>
          <w:rFonts w:ascii="Calibri" w:eastAsia="Calibri" w:hAnsi="Calibri" w:cs="Calibri"/>
          <w:color w:val="000000" w:themeColor="text1"/>
        </w:rPr>
        <w:t>report recognizes that</w:t>
      </w:r>
      <w:r w:rsidRPr="3A2E3878">
        <w:rPr>
          <w:rFonts w:ascii="Calibri" w:eastAsia="Calibri" w:hAnsi="Calibri" w:cs="Calibri"/>
          <w:color w:val="000000" w:themeColor="text1"/>
        </w:rPr>
        <w:t xml:space="preserve"> Ice Harbor dam provides grid reliability support for the Tri-Cities area, but </w:t>
      </w:r>
      <w:r w:rsidR="00413141">
        <w:rPr>
          <w:rFonts w:ascii="Calibri" w:eastAsia="Calibri" w:hAnsi="Calibri" w:cs="Calibri"/>
          <w:color w:val="000000" w:themeColor="text1"/>
        </w:rPr>
        <w:t xml:space="preserve">fails to consider that </w:t>
      </w:r>
      <w:r w:rsidRPr="3A2E3878">
        <w:rPr>
          <w:rFonts w:ascii="Calibri" w:eastAsia="Calibri" w:hAnsi="Calibri" w:cs="Calibri"/>
          <w:color w:val="000000" w:themeColor="text1"/>
        </w:rPr>
        <w:t xml:space="preserve">Columbia Generating Station is the dominant generation resource in the area.  Longstanding transmission and distribution system upgrades have been previously identified and will be needed regardless of whether the LSRD continue in operation or are replaced. </w:t>
      </w:r>
      <w:r w:rsidR="00D07157">
        <w:rPr>
          <w:rFonts w:ascii="Calibri" w:eastAsia="Calibri" w:hAnsi="Calibri" w:cs="Calibri"/>
          <w:color w:val="000000" w:themeColor="text1"/>
        </w:rPr>
        <w:t xml:space="preserve">Treating these </w:t>
      </w:r>
      <w:r w:rsidR="007C6A58">
        <w:rPr>
          <w:rFonts w:ascii="Calibri" w:eastAsia="Calibri" w:hAnsi="Calibri" w:cs="Calibri"/>
          <w:color w:val="000000" w:themeColor="text1"/>
        </w:rPr>
        <w:t xml:space="preserve">upgrades </w:t>
      </w:r>
      <w:r w:rsidR="00D07157">
        <w:rPr>
          <w:rFonts w:ascii="Calibri" w:eastAsia="Calibri" w:hAnsi="Calibri" w:cs="Calibri"/>
          <w:color w:val="000000" w:themeColor="text1"/>
        </w:rPr>
        <w:t>as a cost only associated with dam removal is inaccurate.</w:t>
      </w:r>
      <w:r w:rsidRPr="3A2E3878">
        <w:rPr>
          <w:rFonts w:ascii="Calibri" w:eastAsia="Calibri" w:hAnsi="Calibri" w:cs="Calibri"/>
          <w:color w:val="000000" w:themeColor="text1"/>
        </w:rPr>
        <w:t xml:space="preserve"> New utility-scale re</w:t>
      </w:r>
      <w:r w:rsidR="00B25839">
        <w:rPr>
          <w:rFonts w:ascii="Calibri" w:eastAsia="Calibri" w:hAnsi="Calibri" w:cs="Calibri"/>
          <w:color w:val="000000" w:themeColor="text1"/>
        </w:rPr>
        <w:t>ne</w:t>
      </w:r>
      <w:r w:rsidRPr="3A2E3878">
        <w:rPr>
          <w:rFonts w:ascii="Calibri" w:eastAsia="Calibri" w:hAnsi="Calibri" w:cs="Calibri"/>
          <w:color w:val="000000" w:themeColor="text1"/>
        </w:rPr>
        <w:t>wable and storage resources in the area plus a range of customer side resources (demand response, distributed generation, storage and energy efficiency) can also enhance, defer</w:t>
      </w:r>
      <w:r w:rsidR="00B25839">
        <w:rPr>
          <w:rFonts w:ascii="Calibri" w:eastAsia="Calibri" w:hAnsi="Calibri" w:cs="Calibri"/>
          <w:color w:val="000000" w:themeColor="text1"/>
        </w:rPr>
        <w:t>,</w:t>
      </w:r>
      <w:r w:rsidRPr="3A2E3878">
        <w:rPr>
          <w:rFonts w:ascii="Calibri" w:eastAsia="Calibri" w:hAnsi="Calibri" w:cs="Calibri"/>
          <w:color w:val="000000" w:themeColor="text1"/>
        </w:rPr>
        <w:t xml:space="preserve"> or eliminate the need for </w:t>
      </w:r>
      <w:r w:rsidR="00B25839" w:rsidRPr="3A2E3878">
        <w:rPr>
          <w:rFonts w:ascii="Calibri" w:eastAsia="Calibri" w:hAnsi="Calibri" w:cs="Calibri"/>
          <w:color w:val="000000" w:themeColor="text1"/>
        </w:rPr>
        <w:t>new</w:t>
      </w:r>
      <w:r w:rsidR="00B25839">
        <w:rPr>
          <w:rFonts w:ascii="Calibri" w:eastAsia="Calibri" w:hAnsi="Calibri" w:cs="Calibri"/>
          <w:color w:val="000000" w:themeColor="text1"/>
        </w:rPr>
        <w:t xml:space="preserve"> </w:t>
      </w:r>
      <w:r w:rsidRPr="3A2E3878">
        <w:rPr>
          <w:rFonts w:ascii="Calibri" w:eastAsia="Calibri" w:hAnsi="Calibri" w:cs="Calibri"/>
          <w:color w:val="000000" w:themeColor="text1"/>
        </w:rPr>
        <w:t>high-cost transmission facilities to support the Tri-Cities.</w:t>
      </w:r>
    </w:p>
    <w:p w14:paraId="6045992A" w14:textId="6444FB0A" w:rsidR="00823781" w:rsidRDefault="00D07157" w:rsidP="3A2E3878">
      <w:pPr>
        <w:rPr>
          <w:rFonts w:ascii="Calibri" w:eastAsia="Calibri" w:hAnsi="Calibri" w:cs="Calibri"/>
          <w:color w:val="000000" w:themeColor="text1"/>
        </w:rPr>
      </w:pPr>
      <w:r>
        <w:rPr>
          <w:rFonts w:ascii="Calibri" w:eastAsia="Calibri" w:hAnsi="Calibri" w:cs="Calibri"/>
          <w:color w:val="000000" w:themeColor="text1"/>
        </w:rPr>
        <w:lastRenderedPageBreak/>
        <w:t>Third, t</w:t>
      </w:r>
      <w:r w:rsidR="4BFF220C" w:rsidRPr="3A2E3878">
        <w:rPr>
          <w:rFonts w:ascii="Calibri" w:eastAsia="Calibri" w:hAnsi="Calibri" w:cs="Calibri"/>
          <w:color w:val="000000" w:themeColor="text1"/>
        </w:rPr>
        <w:t xml:space="preserve">he initial description of </w:t>
      </w:r>
      <w:r>
        <w:rPr>
          <w:rFonts w:ascii="Calibri" w:eastAsia="Calibri" w:hAnsi="Calibri" w:cs="Calibri"/>
          <w:color w:val="000000" w:themeColor="text1"/>
        </w:rPr>
        <w:t>LSRD</w:t>
      </w:r>
      <w:r w:rsidR="4BFF220C" w:rsidRPr="3A2E3878">
        <w:rPr>
          <w:rFonts w:ascii="Calibri" w:eastAsia="Calibri" w:hAnsi="Calibri" w:cs="Calibri"/>
          <w:color w:val="000000" w:themeColor="text1"/>
        </w:rPr>
        <w:t xml:space="preserve"> energy as “carbon-free” </w:t>
      </w:r>
      <w:r w:rsidR="00912928">
        <w:rPr>
          <w:rFonts w:ascii="Calibri" w:eastAsia="Calibri" w:hAnsi="Calibri" w:cs="Calibri"/>
          <w:color w:val="000000" w:themeColor="text1"/>
        </w:rPr>
        <w:t xml:space="preserve">in the draft report </w:t>
      </w:r>
      <w:r w:rsidR="4BFF220C" w:rsidRPr="3A2E3878">
        <w:rPr>
          <w:rFonts w:ascii="Calibri" w:eastAsia="Calibri" w:hAnsi="Calibri" w:cs="Calibri"/>
          <w:color w:val="000000" w:themeColor="text1"/>
        </w:rPr>
        <w:t>is contradicted by later descriptions of research showing methane emissions from dam-impounded reservoirs like those on the lower Snake. Hydropower is deemed “non</w:t>
      </w:r>
      <w:r w:rsidR="00BA3C57">
        <w:rPr>
          <w:rFonts w:ascii="Calibri" w:eastAsia="Calibri" w:hAnsi="Calibri" w:cs="Calibri"/>
          <w:color w:val="000000" w:themeColor="text1"/>
        </w:rPr>
        <w:t>-</w:t>
      </w:r>
      <w:r w:rsidR="4BFF220C" w:rsidRPr="3A2E3878">
        <w:rPr>
          <w:rFonts w:ascii="Calibri" w:eastAsia="Calibri" w:hAnsi="Calibri" w:cs="Calibri"/>
          <w:color w:val="000000" w:themeColor="text1"/>
        </w:rPr>
        <w:t xml:space="preserve">emitting” under Washington state law, but the </w:t>
      </w:r>
      <w:r w:rsidR="008D22B9">
        <w:rPr>
          <w:rFonts w:ascii="Calibri" w:eastAsia="Calibri" w:hAnsi="Calibri" w:cs="Calibri"/>
          <w:color w:val="000000" w:themeColor="text1"/>
        </w:rPr>
        <w:t xml:space="preserve">final </w:t>
      </w:r>
      <w:r w:rsidR="4BFF220C" w:rsidRPr="3A2E3878">
        <w:rPr>
          <w:rFonts w:ascii="Calibri" w:eastAsia="Calibri" w:hAnsi="Calibri" w:cs="Calibri"/>
          <w:color w:val="000000" w:themeColor="text1"/>
        </w:rPr>
        <w:t xml:space="preserve">report should be clear in its definition of “carbon-free” and </w:t>
      </w:r>
      <w:r w:rsidR="0039172D">
        <w:rPr>
          <w:rFonts w:ascii="Calibri" w:eastAsia="Calibri" w:hAnsi="Calibri" w:cs="Calibri"/>
          <w:color w:val="000000" w:themeColor="text1"/>
        </w:rPr>
        <w:t>note that</w:t>
      </w:r>
      <w:r w:rsidR="00BA3C57">
        <w:rPr>
          <w:rFonts w:ascii="Calibri" w:eastAsia="Calibri" w:hAnsi="Calibri" w:cs="Calibri"/>
          <w:color w:val="000000" w:themeColor="text1"/>
        </w:rPr>
        <w:t xml:space="preserve"> research into climate impacts of dam-impounded reservoirs is just beginning</w:t>
      </w:r>
      <w:r w:rsidR="00B25839">
        <w:rPr>
          <w:rFonts w:ascii="Calibri" w:eastAsia="Calibri" w:hAnsi="Calibri" w:cs="Calibri"/>
          <w:color w:val="000000" w:themeColor="text1"/>
        </w:rPr>
        <w:t xml:space="preserve"> to emerge</w:t>
      </w:r>
      <w:r w:rsidR="00BA3C57">
        <w:rPr>
          <w:rFonts w:ascii="Calibri" w:eastAsia="Calibri" w:hAnsi="Calibri" w:cs="Calibri"/>
          <w:color w:val="000000" w:themeColor="text1"/>
        </w:rPr>
        <w:t xml:space="preserve">. </w:t>
      </w:r>
    </w:p>
    <w:p w14:paraId="190CED85" w14:textId="49963753" w:rsidR="00823781" w:rsidRDefault="00BA3C57" w:rsidP="3A2E3878">
      <w:pPr>
        <w:rPr>
          <w:rFonts w:ascii="Calibri" w:eastAsia="Calibri" w:hAnsi="Calibri" w:cs="Calibri"/>
          <w:color w:val="000000" w:themeColor="text1"/>
        </w:rPr>
      </w:pPr>
      <w:r w:rsidRPr="7085A547">
        <w:rPr>
          <w:rFonts w:ascii="Calibri" w:eastAsia="Calibri" w:hAnsi="Calibri" w:cs="Calibri"/>
          <w:color w:val="000000" w:themeColor="text1"/>
        </w:rPr>
        <w:t>Fourth, the</w:t>
      </w:r>
      <w:r w:rsidR="4BFF220C" w:rsidRPr="7085A547">
        <w:rPr>
          <w:rFonts w:ascii="Calibri" w:eastAsia="Calibri" w:hAnsi="Calibri" w:cs="Calibri"/>
          <w:color w:val="000000" w:themeColor="text1"/>
        </w:rPr>
        <w:t xml:space="preserve"> data shown by Figure 10 </w:t>
      </w:r>
      <w:r w:rsidR="00B25839" w:rsidRPr="7085A547">
        <w:rPr>
          <w:rFonts w:ascii="Calibri" w:eastAsia="Calibri" w:hAnsi="Calibri" w:cs="Calibri"/>
          <w:color w:val="000000" w:themeColor="text1"/>
        </w:rPr>
        <w:t>in the</w:t>
      </w:r>
      <w:r w:rsidR="008D22B9">
        <w:rPr>
          <w:rFonts w:ascii="Calibri" w:eastAsia="Calibri" w:hAnsi="Calibri" w:cs="Calibri"/>
          <w:color w:val="000000" w:themeColor="text1"/>
        </w:rPr>
        <w:t xml:space="preserve"> draft</w:t>
      </w:r>
      <w:r w:rsidR="00B25839" w:rsidRPr="7085A547">
        <w:rPr>
          <w:rFonts w:ascii="Calibri" w:eastAsia="Calibri" w:hAnsi="Calibri" w:cs="Calibri"/>
          <w:color w:val="000000" w:themeColor="text1"/>
        </w:rPr>
        <w:t xml:space="preserve"> report </w:t>
      </w:r>
      <w:r w:rsidR="4BFF220C" w:rsidRPr="7085A547">
        <w:rPr>
          <w:rFonts w:ascii="Calibri" w:eastAsia="Calibri" w:hAnsi="Calibri" w:cs="Calibri"/>
          <w:color w:val="000000" w:themeColor="text1"/>
        </w:rPr>
        <w:t>does not represent a projection of power generation during 2022. Rather, it reflects BPA’s power generation and load under 1937 critical water year conditions</w:t>
      </w:r>
      <w:r w:rsidR="0039172D">
        <w:rPr>
          <w:rFonts w:ascii="Calibri" w:eastAsia="Calibri" w:hAnsi="Calibri" w:cs="Calibri"/>
          <w:color w:val="000000" w:themeColor="text1"/>
        </w:rPr>
        <w:t>. We recommend using</w:t>
      </w:r>
      <w:r w:rsidR="4BFF220C" w:rsidRPr="7085A547">
        <w:rPr>
          <w:rFonts w:ascii="Calibri" w:eastAsia="Calibri" w:hAnsi="Calibri" w:cs="Calibri"/>
          <w:color w:val="000000" w:themeColor="text1"/>
        </w:rPr>
        <w:t xml:space="preserve"> data on the actual production of the system, which would better represent how the </w:t>
      </w:r>
      <w:r w:rsidR="00B25839" w:rsidRPr="7085A547">
        <w:rPr>
          <w:rFonts w:ascii="Calibri" w:eastAsia="Calibri" w:hAnsi="Calibri" w:cs="Calibri"/>
          <w:color w:val="000000" w:themeColor="text1"/>
        </w:rPr>
        <w:t>LSRD</w:t>
      </w:r>
      <w:r w:rsidR="4BFF220C" w:rsidRPr="7085A547">
        <w:rPr>
          <w:rFonts w:ascii="Calibri" w:eastAsia="Calibri" w:hAnsi="Calibri" w:cs="Calibri"/>
          <w:color w:val="000000" w:themeColor="text1"/>
        </w:rPr>
        <w:t xml:space="preserve"> function and </w:t>
      </w:r>
      <w:r w:rsidR="002B5333">
        <w:rPr>
          <w:rFonts w:ascii="Calibri" w:eastAsia="Calibri" w:hAnsi="Calibri" w:cs="Calibri"/>
          <w:color w:val="000000" w:themeColor="text1"/>
        </w:rPr>
        <w:t xml:space="preserve">their </w:t>
      </w:r>
      <w:r w:rsidR="005522AC">
        <w:rPr>
          <w:rFonts w:ascii="Calibri" w:eastAsia="Calibri" w:hAnsi="Calibri" w:cs="Calibri"/>
          <w:color w:val="000000" w:themeColor="text1"/>
        </w:rPr>
        <w:t>incremental value</w:t>
      </w:r>
      <w:r w:rsidR="0039172D">
        <w:rPr>
          <w:rFonts w:ascii="Calibri" w:eastAsia="Calibri" w:hAnsi="Calibri" w:cs="Calibri"/>
          <w:color w:val="000000" w:themeColor="text1"/>
        </w:rPr>
        <w:t xml:space="preserve"> for the system</w:t>
      </w:r>
      <w:r w:rsidR="4BFF220C" w:rsidRPr="7085A547">
        <w:rPr>
          <w:rFonts w:ascii="Calibri" w:eastAsia="Calibri" w:hAnsi="Calibri" w:cs="Calibri"/>
          <w:color w:val="000000" w:themeColor="text1"/>
        </w:rPr>
        <w:t>.</w:t>
      </w:r>
      <w:r w:rsidR="008D22B9">
        <w:rPr>
          <w:rFonts w:ascii="Calibri" w:eastAsia="Calibri" w:hAnsi="Calibri" w:cs="Calibri"/>
          <w:color w:val="000000" w:themeColor="text1"/>
        </w:rPr>
        <w:t xml:space="preserve"> Even BPA has recently moved away from using 1937 water year data, as they no longer </w:t>
      </w:r>
      <w:r w:rsidR="00AE25BA">
        <w:rPr>
          <w:rFonts w:ascii="Calibri" w:eastAsia="Calibri" w:hAnsi="Calibri" w:cs="Calibri"/>
          <w:color w:val="000000" w:themeColor="text1"/>
        </w:rPr>
        <w:t xml:space="preserve">accurately </w:t>
      </w:r>
      <w:r w:rsidR="008D22B9">
        <w:rPr>
          <w:rFonts w:ascii="Calibri" w:eastAsia="Calibri" w:hAnsi="Calibri" w:cs="Calibri"/>
          <w:color w:val="000000" w:themeColor="text1"/>
        </w:rPr>
        <w:t>represent the climate change-impacted hydrograph. The final report should use historic generation averages from all resources on the BPA system and BPA load.</w:t>
      </w:r>
    </w:p>
    <w:p w14:paraId="4E241F62" w14:textId="77777777" w:rsidR="00DE6AE4" w:rsidRDefault="00DE6AE4" w:rsidP="3A2E3878">
      <w:pPr>
        <w:rPr>
          <w:rFonts w:ascii="Calibri" w:eastAsia="Calibri" w:hAnsi="Calibri" w:cs="Calibri"/>
          <w:color w:val="000000" w:themeColor="text1"/>
        </w:rPr>
      </w:pPr>
    </w:p>
    <w:p w14:paraId="06899BCD" w14:textId="546439F7" w:rsidR="00B25839" w:rsidRPr="008D22B9" w:rsidRDefault="00DE6AE4" w:rsidP="4BFF220C">
      <w:pPr>
        <w:rPr>
          <w:b/>
          <w:bCs/>
        </w:rPr>
      </w:pPr>
      <w:r w:rsidRPr="008D22B9">
        <w:rPr>
          <w:b/>
          <w:bCs/>
        </w:rPr>
        <w:t>Changing Energy Environment</w:t>
      </w:r>
    </w:p>
    <w:p w14:paraId="2806E8C7" w14:textId="34EF2E68" w:rsidR="00DE6AE4" w:rsidRDefault="00DE6AE4" w:rsidP="4BFF220C">
      <w:pPr>
        <w:rPr>
          <w:rFonts w:ascii="Calibri" w:eastAsia="Calibri" w:hAnsi="Calibri" w:cs="Calibri"/>
          <w:color w:val="000000" w:themeColor="text1"/>
        </w:rPr>
      </w:pPr>
      <w:r>
        <w:t xml:space="preserve">The </w:t>
      </w:r>
      <w:r w:rsidR="008D22B9">
        <w:t xml:space="preserve">draft </w:t>
      </w:r>
      <w:r>
        <w:t xml:space="preserve">report sets the LSRD energy services replacement issue in the correct context of the changing energy environment. The </w:t>
      </w:r>
      <w:r w:rsidR="0096366F">
        <w:t xml:space="preserve">draft </w:t>
      </w:r>
      <w:r>
        <w:t xml:space="preserve">report correctly notes that </w:t>
      </w:r>
      <w:r w:rsidRPr="4BFF220C">
        <w:rPr>
          <w:rFonts w:ascii="Calibri" w:eastAsia="Calibri" w:hAnsi="Calibri" w:cs="Calibri"/>
          <w:color w:val="000000" w:themeColor="text1"/>
        </w:rPr>
        <w:t>the anticipated 2028 BPA contract renewals can benefit from more clarity around the future of the LSRD, and a properly structured clean energy replacement portfolio can fill the seasonal gaps the LSRD currently cannot address.</w:t>
      </w:r>
    </w:p>
    <w:p w14:paraId="1E4902C5" w14:textId="77777777" w:rsidR="00987B2D" w:rsidRDefault="00DE6AE4" w:rsidP="4BFF220C">
      <w:pPr>
        <w:rPr>
          <w:rFonts w:ascii="Calibri" w:eastAsia="Calibri" w:hAnsi="Calibri" w:cs="Calibri"/>
          <w:color w:val="000000" w:themeColor="text1"/>
        </w:rPr>
      </w:pPr>
      <w:r>
        <w:rPr>
          <w:rFonts w:ascii="Calibri" w:eastAsia="Calibri" w:hAnsi="Calibri" w:cs="Calibri"/>
          <w:color w:val="000000" w:themeColor="text1"/>
        </w:rPr>
        <w:t>Furthermore, t</w:t>
      </w:r>
      <w:r w:rsidRPr="4BFF220C">
        <w:rPr>
          <w:rFonts w:ascii="Calibri" w:eastAsia="Calibri" w:hAnsi="Calibri" w:cs="Calibri"/>
          <w:color w:val="000000" w:themeColor="text1"/>
        </w:rPr>
        <w:t xml:space="preserve">he </w:t>
      </w:r>
      <w:r w:rsidR="008D22B9">
        <w:rPr>
          <w:rFonts w:ascii="Calibri" w:eastAsia="Calibri" w:hAnsi="Calibri" w:cs="Calibri"/>
          <w:color w:val="000000" w:themeColor="text1"/>
        </w:rPr>
        <w:t xml:space="preserve">draft </w:t>
      </w:r>
      <w:r w:rsidRPr="4BFF220C">
        <w:rPr>
          <w:rFonts w:ascii="Calibri" w:eastAsia="Calibri" w:hAnsi="Calibri" w:cs="Calibri"/>
          <w:color w:val="000000" w:themeColor="text1"/>
        </w:rPr>
        <w:t>report acknowledges that future court decisions could further limit dam operations</w:t>
      </w:r>
      <w:r>
        <w:rPr>
          <w:rFonts w:ascii="Calibri" w:eastAsia="Calibri" w:hAnsi="Calibri" w:cs="Calibri"/>
          <w:color w:val="000000" w:themeColor="text1"/>
        </w:rPr>
        <w:t xml:space="preserve">. The report </w:t>
      </w:r>
      <w:r w:rsidR="005A4DCD">
        <w:rPr>
          <w:rFonts w:ascii="Calibri" w:eastAsia="Calibri" w:hAnsi="Calibri" w:cs="Calibri"/>
          <w:color w:val="000000" w:themeColor="text1"/>
        </w:rPr>
        <w:t>points to</w:t>
      </w:r>
      <w:r w:rsidRPr="4BFF220C">
        <w:rPr>
          <w:rFonts w:ascii="Calibri" w:eastAsia="Calibri" w:hAnsi="Calibri" w:cs="Calibri"/>
          <w:color w:val="000000" w:themeColor="text1"/>
        </w:rPr>
        <w:t xml:space="preserve"> </w:t>
      </w:r>
      <w:r w:rsidR="008D22B9">
        <w:rPr>
          <w:rFonts w:ascii="Calibri" w:eastAsia="Calibri" w:hAnsi="Calibri" w:cs="Calibri"/>
          <w:color w:val="000000" w:themeColor="text1"/>
        </w:rPr>
        <w:t xml:space="preserve">the 2020 </w:t>
      </w:r>
      <w:r w:rsidR="00F85EF0">
        <w:rPr>
          <w:rFonts w:ascii="Calibri" w:eastAsia="Calibri" w:hAnsi="Calibri" w:cs="Calibri"/>
          <w:color w:val="000000" w:themeColor="text1"/>
        </w:rPr>
        <w:t>CRSO EIS</w:t>
      </w:r>
      <w:r w:rsidRPr="4BFF220C">
        <w:rPr>
          <w:rFonts w:ascii="Calibri" w:eastAsia="Calibri" w:hAnsi="Calibri" w:cs="Calibri"/>
          <w:color w:val="000000" w:themeColor="text1"/>
        </w:rPr>
        <w:t xml:space="preserve"> scenario M</w:t>
      </w:r>
      <w:r w:rsidR="00C96CAD">
        <w:rPr>
          <w:rFonts w:ascii="Calibri" w:eastAsia="Calibri" w:hAnsi="Calibri" w:cs="Calibri"/>
          <w:color w:val="000000" w:themeColor="text1"/>
        </w:rPr>
        <w:t xml:space="preserve">ultiple </w:t>
      </w:r>
      <w:r w:rsidRPr="4BFF220C">
        <w:rPr>
          <w:rFonts w:ascii="Calibri" w:eastAsia="Calibri" w:hAnsi="Calibri" w:cs="Calibri"/>
          <w:color w:val="000000" w:themeColor="text1"/>
        </w:rPr>
        <w:t>O</w:t>
      </w:r>
      <w:r w:rsidR="00C96CAD">
        <w:rPr>
          <w:rFonts w:ascii="Calibri" w:eastAsia="Calibri" w:hAnsi="Calibri" w:cs="Calibri"/>
          <w:color w:val="000000" w:themeColor="text1"/>
        </w:rPr>
        <w:t xml:space="preserve">bjective Alternative </w:t>
      </w:r>
      <w:r w:rsidRPr="4BFF220C">
        <w:rPr>
          <w:rFonts w:ascii="Calibri" w:eastAsia="Calibri" w:hAnsi="Calibri" w:cs="Calibri"/>
          <w:color w:val="000000" w:themeColor="text1"/>
        </w:rPr>
        <w:t>4</w:t>
      </w:r>
      <w:r w:rsidR="00C96CAD">
        <w:rPr>
          <w:rFonts w:ascii="Calibri" w:eastAsia="Calibri" w:hAnsi="Calibri" w:cs="Calibri"/>
          <w:color w:val="000000" w:themeColor="text1"/>
        </w:rPr>
        <w:t xml:space="preserve"> (MO4</w:t>
      </w:r>
      <w:r w:rsidR="005A4DCD">
        <w:rPr>
          <w:rFonts w:ascii="Calibri" w:eastAsia="Calibri" w:hAnsi="Calibri" w:cs="Calibri"/>
          <w:color w:val="000000" w:themeColor="text1"/>
        </w:rPr>
        <w:t>) to illustrate this risk. MO4</w:t>
      </w:r>
      <w:r w:rsidRPr="4BFF220C">
        <w:rPr>
          <w:rFonts w:ascii="Calibri" w:eastAsia="Calibri" w:hAnsi="Calibri" w:cs="Calibri"/>
          <w:color w:val="000000" w:themeColor="text1"/>
        </w:rPr>
        <w:t xml:space="preserve"> has the highest </w:t>
      </w:r>
      <w:r w:rsidR="002A11F2">
        <w:rPr>
          <w:rFonts w:ascii="Calibri" w:eastAsia="Calibri" w:hAnsi="Calibri" w:cs="Calibri"/>
          <w:color w:val="000000" w:themeColor="text1"/>
        </w:rPr>
        <w:t>cost</w:t>
      </w:r>
      <w:r w:rsidRPr="4BFF220C">
        <w:rPr>
          <w:rFonts w:ascii="Calibri" w:eastAsia="Calibri" w:hAnsi="Calibri" w:cs="Calibri"/>
          <w:color w:val="000000" w:themeColor="text1"/>
        </w:rPr>
        <w:t xml:space="preserve"> of any of the alternatives because it relies on maximizing spill across the Lower Snake and Lower Columbia dams, rather than </w:t>
      </w:r>
      <w:r w:rsidR="002A11F2">
        <w:rPr>
          <w:rFonts w:ascii="Calibri" w:eastAsia="Calibri" w:hAnsi="Calibri" w:cs="Calibri"/>
          <w:color w:val="000000" w:themeColor="text1"/>
        </w:rPr>
        <w:t>breaching</w:t>
      </w:r>
      <w:r w:rsidRPr="4BFF220C">
        <w:rPr>
          <w:rFonts w:ascii="Calibri" w:eastAsia="Calibri" w:hAnsi="Calibri" w:cs="Calibri"/>
          <w:color w:val="000000" w:themeColor="text1"/>
        </w:rPr>
        <w:t xml:space="preserve"> </w:t>
      </w:r>
      <w:r w:rsidR="002A11F2">
        <w:rPr>
          <w:rFonts w:ascii="Calibri" w:eastAsia="Calibri" w:hAnsi="Calibri" w:cs="Calibri"/>
          <w:color w:val="000000" w:themeColor="text1"/>
        </w:rPr>
        <w:t xml:space="preserve">the </w:t>
      </w:r>
      <w:r w:rsidRPr="4BFF220C">
        <w:rPr>
          <w:rFonts w:ascii="Calibri" w:eastAsia="Calibri" w:hAnsi="Calibri" w:cs="Calibri"/>
          <w:color w:val="000000" w:themeColor="text1"/>
        </w:rPr>
        <w:t>LSRD. MO4 does not achieve the anticipated benefit to salmon survival and recovery from dam breach</w:t>
      </w:r>
      <w:r w:rsidR="00B25839">
        <w:rPr>
          <w:rFonts w:ascii="Calibri" w:eastAsia="Calibri" w:hAnsi="Calibri" w:cs="Calibri"/>
          <w:color w:val="000000" w:themeColor="text1"/>
        </w:rPr>
        <w:t>ing</w:t>
      </w:r>
      <w:r w:rsidRPr="4BFF220C">
        <w:rPr>
          <w:rFonts w:ascii="Calibri" w:eastAsia="Calibri" w:hAnsi="Calibri" w:cs="Calibri"/>
          <w:color w:val="000000" w:themeColor="text1"/>
        </w:rPr>
        <w:t xml:space="preserve"> and replacement</w:t>
      </w:r>
      <w:r w:rsidR="00964E5E">
        <w:rPr>
          <w:rFonts w:ascii="Calibri" w:eastAsia="Calibri" w:hAnsi="Calibri" w:cs="Calibri"/>
          <w:color w:val="000000" w:themeColor="text1"/>
        </w:rPr>
        <w:t xml:space="preserve">, which is scenario </w:t>
      </w:r>
      <w:r w:rsidRPr="4BFF220C">
        <w:rPr>
          <w:rFonts w:ascii="Calibri" w:eastAsia="Calibri" w:hAnsi="Calibri" w:cs="Calibri"/>
          <w:color w:val="000000" w:themeColor="text1"/>
        </w:rPr>
        <w:t>MO3.</w:t>
      </w:r>
      <w:r w:rsidR="00964E5E">
        <w:rPr>
          <w:rStyle w:val="FootnoteReference"/>
          <w:rFonts w:ascii="Calibri" w:eastAsia="Calibri" w:hAnsi="Calibri" w:cs="Calibri"/>
          <w:color w:val="000000" w:themeColor="text1"/>
        </w:rPr>
        <w:footnoteReference w:id="2"/>
      </w:r>
      <w:r w:rsidR="002A11F2">
        <w:rPr>
          <w:rFonts w:ascii="Calibri" w:eastAsia="Calibri" w:hAnsi="Calibri" w:cs="Calibri"/>
          <w:color w:val="000000" w:themeColor="text1"/>
        </w:rPr>
        <w:t xml:space="preserve"> It is uncertain whether dam breaching could be ordered by a court, but past legal challenges to dam operations have resulted in </w:t>
      </w:r>
      <w:r w:rsidR="00AE25BA">
        <w:rPr>
          <w:rFonts w:ascii="Calibri" w:eastAsia="Calibri" w:hAnsi="Calibri" w:cs="Calibri"/>
          <w:color w:val="000000" w:themeColor="text1"/>
        </w:rPr>
        <w:t>steadily increasing requirements</w:t>
      </w:r>
      <w:r w:rsidR="002A11F2">
        <w:rPr>
          <w:rFonts w:ascii="Calibri" w:eastAsia="Calibri" w:hAnsi="Calibri" w:cs="Calibri"/>
          <w:color w:val="000000" w:themeColor="text1"/>
        </w:rPr>
        <w:t xml:space="preserve"> </w:t>
      </w:r>
      <w:r w:rsidR="00AE25BA">
        <w:rPr>
          <w:rFonts w:ascii="Calibri" w:eastAsia="Calibri" w:hAnsi="Calibri" w:cs="Calibri"/>
          <w:color w:val="000000" w:themeColor="text1"/>
        </w:rPr>
        <w:t>for</w:t>
      </w:r>
      <w:r w:rsidR="002A11F2">
        <w:rPr>
          <w:rFonts w:ascii="Calibri" w:eastAsia="Calibri" w:hAnsi="Calibri" w:cs="Calibri"/>
          <w:color w:val="000000" w:themeColor="text1"/>
        </w:rPr>
        <w:t xml:space="preserve"> spill that reduced power generation. The current legal challenges to the 2020 CRSO EIS could </w:t>
      </w:r>
      <w:r w:rsidR="00AE25BA">
        <w:rPr>
          <w:rFonts w:ascii="Calibri" w:eastAsia="Calibri" w:hAnsi="Calibri" w:cs="Calibri"/>
          <w:color w:val="000000" w:themeColor="text1"/>
        </w:rPr>
        <w:t>lead to</w:t>
      </w:r>
      <w:r w:rsidR="002A11F2">
        <w:rPr>
          <w:rFonts w:ascii="Calibri" w:eastAsia="Calibri" w:hAnsi="Calibri" w:cs="Calibri"/>
          <w:color w:val="000000" w:themeColor="text1"/>
        </w:rPr>
        <w:t xml:space="preserve"> MO4-like operations within the Federal Columbia River Power System.</w:t>
      </w:r>
    </w:p>
    <w:p w14:paraId="165D1F9C" w14:textId="59FDE366" w:rsidR="00823781" w:rsidRDefault="00987B2D" w:rsidP="4BFF220C">
      <w:r>
        <w:rPr>
          <w:rFonts w:ascii="Calibri" w:eastAsia="Calibri" w:hAnsi="Calibri" w:cs="Calibri"/>
          <w:color w:val="000000" w:themeColor="text1"/>
        </w:rPr>
        <w:t>In addition to the CRSO litigation, the draft report should consider that Washington State recently asserted its right under the Clean Water Act to enforce state water quality standards for salmon at the dams, including for hot water pollution. The state’s rights were challenged by the U.S. Army Corps but, ultimately, upheld by the Washington PCHB. Meeting state water quality standards for temperature at the four LSRD reservoirs creates even further uncertainty about constraints to operations (</w:t>
      </w:r>
      <w:proofErr w:type="gramStart"/>
      <w:r>
        <w:rPr>
          <w:rFonts w:ascii="Calibri" w:eastAsia="Calibri" w:hAnsi="Calibri" w:cs="Calibri"/>
          <w:color w:val="000000" w:themeColor="text1"/>
        </w:rPr>
        <w:t>e.g.</w:t>
      </w:r>
      <w:proofErr w:type="gramEnd"/>
      <w:r>
        <w:rPr>
          <w:rFonts w:ascii="Calibri" w:eastAsia="Calibri" w:hAnsi="Calibri" w:cs="Calibri"/>
          <w:color w:val="000000" w:themeColor="text1"/>
        </w:rPr>
        <w:t xml:space="preserve"> possible </w:t>
      </w:r>
      <w:r>
        <w:rPr>
          <w:rFonts w:ascii="Calibri" w:eastAsia="Calibri" w:hAnsi="Calibri" w:cs="Calibri"/>
          <w:color w:val="000000" w:themeColor="text1"/>
        </w:rPr>
        <w:lastRenderedPageBreak/>
        <w:t xml:space="preserve">drawdown) and future cost. </w:t>
      </w:r>
      <w:r w:rsidR="00DE6AE4">
        <w:br/>
      </w:r>
    </w:p>
    <w:p w14:paraId="4DE9DC13" w14:textId="1D2E7916" w:rsidR="00823781" w:rsidRPr="002A11F2" w:rsidRDefault="00964E5E" w:rsidP="4BFF220C">
      <w:pPr>
        <w:rPr>
          <w:b/>
          <w:bCs/>
        </w:rPr>
      </w:pPr>
      <w:r w:rsidRPr="002A11F2">
        <w:rPr>
          <w:b/>
          <w:bCs/>
        </w:rPr>
        <w:t>Actions Needed to Replace or Improve Services</w:t>
      </w:r>
    </w:p>
    <w:p w14:paraId="32D1AEC2" w14:textId="5D5BB061" w:rsidR="008D4D8E" w:rsidRDefault="00CD066D" w:rsidP="00CD066D">
      <w:r>
        <w:rPr>
          <w:rFonts w:ascii="Calibri" w:eastAsia="Calibri" w:hAnsi="Calibri" w:cs="Calibri"/>
          <w:color w:val="000000" w:themeColor="text1"/>
        </w:rPr>
        <w:t>First, t</w:t>
      </w:r>
      <w:r w:rsidR="4BFF220C" w:rsidRPr="00CD066D">
        <w:rPr>
          <w:rFonts w:ascii="Calibri" w:eastAsia="Calibri" w:hAnsi="Calibri" w:cs="Calibri"/>
          <w:color w:val="000000" w:themeColor="text1"/>
        </w:rPr>
        <w:t xml:space="preserve">he </w:t>
      </w:r>
      <w:r w:rsidR="00A11016">
        <w:rPr>
          <w:rFonts w:ascii="Calibri" w:eastAsia="Calibri" w:hAnsi="Calibri" w:cs="Calibri"/>
          <w:color w:val="000000" w:themeColor="text1"/>
        </w:rPr>
        <w:t xml:space="preserve">draft </w:t>
      </w:r>
      <w:r w:rsidR="4BFF220C" w:rsidRPr="00CD066D">
        <w:rPr>
          <w:rFonts w:ascii="Calibri" w:eastAsia="Calibri" w:hAnsi="Calibri" w:cs="Calibri"/>
          <w:color w:val="000000" w:themeColor="text1"/>
        </w:rPr>
        <w:t>report states, “</w:t>
      </w:r>
      <w:r w:rsidR="4BFF220C" w:rsidRPr="4BFF220C">
        <w:t xml:space="preserve">Replacement of the LSRD energy production with renewable, carbon-free sources is a small percentage of the regional need forecast for 2050 but adds to the challenge.” </w:t>
      </w:r>
      <w:r w:rsidR="008D4D8E">
        <w:t xml:space="preserve">However, the draft report does not </w:t>
      </w:r>
      <w:r w:rsidR="00E21853">
        <w:t xml:space="preserve">place the LSRD replacement energy production in context of the region’s high interest in renewable energy development. The draft report does not </w:t>
      </w:r>
      <w:r w:rsidR="008D4D8E">
        <w:t>recognize Energy Strategies 2022’s finding that a</w:t>
      </w:r>
      <w:r w:rsidR="00E21853">
        <w:t>n LSRD</w:t>
      </w:r>
      <w:r w:rsidR="008D4D8E">
        <w:t xml:space="preserve"> replacement clean energy portfolio represents just 12% of resources that are currently in BPA’s queue </w:t>
      </w:r>
      <w:r w:rsidR="008A2FF6">
        <w:t xml:space="preserve">– which will not be the only source for replacement resources – for </w:t>
      </w:r>
      <w:r w:rsidR="008D4D8E">
        <w:t>development in the late 2020s</w:t>
      </w:r>
      <w:r w:rsidR="00550775">
        <w:t xml:space="preserve"> (Figure 1)</w:t>
      </w:r>
      <w:r w:rsidR="008D4D8E">
        <w:t>. The final report should note that interest in development of clean energy generation in the Northwest is high and growing</w:t>
      </w:r>
      <w:r w:rsidR="008A2FF6">
        <w:t xml:space="preserve">, and that LSRD energy replacement </w:t>
      </w:r>
      <w:r w:rsidR="00987B2D">
        <w:t xml:space="preserve">would </w:t>
      </w:r>
      <w:r w:rsidR="008A2FF6">
        <w:t xml:space="preserve">represent only a small fraction of </w:t>
      </w:r>
      <w:r w:rsidR="00987B2D">
        <w:t xml:space="preserve">the total planned, “shovel-ready” </w:t>
      </w:r>
      <w:r w:rsidR="008A2FF6">
        <w:t xml:space="preserve">clean energy resources </w:t>
      </w:r>
      <w:r w:rsidR="0039172D">
        <w:t>being driven by market conditions</w:t>
      </w:r>
      <w:r w:rsidR="008A2FF6">
        <w:t>.</w:t>
      </w:r>
    </w:p>
    <w:p w14:paraId="69FC0AA6" w14:textId="2996734C" w:rsidR="00987B2D" w:rsidRDefault="00550775" w:rsidP="00987B2D">
      <w:pPr>
        <w:jc w:val="center"/>
      </w:pPr>
      <w:r>
        <w:rPr>
          <w:noProof/>
        </w:rPr>
        <w:drawing>
          <wp:inline distT="0" distB="0" distL="0" distR="0" wp14:anchorId="0BD1E522" wp14:editId="5B52E41D">
            <wp:extent cx="2683933" cy="2962782"/>
            <wp:effectExtent l="12700" t="12700" r="889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9747" cy="3013356"/>
                    </a:xfrm>
                    <a:prstGeom prst="rect">
                      <a:avLst/>
                    </a:prstGeom>
                    <a:ln>
                      <a:solidFill>
                        <a:schemeClr val="tx1"/>
                      </a:solidFill>
                    </a:ln>
                  </pic:spPr>
                </pic:pic>
              </a:graphicData>
            </a:graphic>
          </wp:inline>
        </w:drawing>
      </w:r>
    </w:p>
    <w:p w14:paraId="254C52E1" w14:textId="548BDCE2" w:rsidR="00987B2D" w:rsidRPr="00550775" w:rsidRDefault="00550775" w:rsidP="00987B2D">
      <w:pPr>
        <w:spacing w:line="240" w:lineRule="auto"/>
        <w:jc w:val="center"/>
        <w:rPr>
          <w:i/>
          <w:iCs/>
          <w:sz w:val="18"/>
          <w:szCs w:val="18"/>
        </w:rPr>
      </w:pPr>
      <w:r w:rsidRPr="00550775">
        <w:rPr>
          <w:sz w:val="18"/>
          <w:szCs w:val="18"/>
        </w:rPr>
        <w:t>Figure 1:</w:t>
      </w:r>
      <w:r w:rsidR="00632601">
        <w:rPr>
          <w:sz w:val="18"/>
          <w:szCs w:val="18"/>
        </w:rPr>
        <w:t xml:space="preserve"> Relative size of Energy Strategies’ replacement portfolio vs. all resources (solar (PV), wind (WT), BESS (storage), PV+BESS (hybrid solar and storage)) currently in BPA’s queue</w:t>
      </w:r>
      <w:r w:rsidRPr="00550775">
        <w:rPr>
          <w:sz w:val="18"/>
          <w:szCs w:val="18"/>
        </w:rPr>
        <w:t>.</w:t>
      </w:r>
      <w:r>
        <w:rPr>
          <w:i/>
          <w:iCs/>
          <w:sz w:val="18"/>
          <w:szCs w:val="18"/>
        </w:rPr>
        <w:t xml:space="preserve"> </w:t>
      </w:r>
      <w:r w:rsidR="00987B2D" w:rsidRPr="00550775">
        <w:rPr>
          <w:i/>
          <w:iCs/>
          <w:sz w:val="18"/>
          <w:szCs w:val="18"/>
        </w:rPr>
        <w:t>Source:</w:t>
      </w:r>
      <w:r w:rsidRPr="00550775">
        <w:rPr>
          <w:i/>
          <w:iCs/>
          <w:sz w:val="18"/>
          <w:szCs w:val="18"/>
        </w:rPr>
        <w:t xml:space="preserve"> </w:t>
      </w:r>
      <w:r w:rsidR="00632601">
        <w:rPr>
          <w:i/>
          <w:iCs/>
          <w:sz w:val="18"/>
          <w:szCs w:val="18"/>
        </w:rPr>
        <w:t>Energy Strategies 2022.</w:t>
      </w:r>
    </w:p>
    <w:p w14:paraId="24086828" w14:textId="5438353F" w:rsidR="00823781" w:rsidRDefault="008D4D8E" w:rsidP="00CD066D">
      <w:r>
        <w:t>Additionally</w:t>
      </w:r>
      <w:r w:rsidR="00CD066D">
        <w:t>, t</w:t>
      </w:r>
      <w:r w:rsidR="4BFF220C" w:rsidRPr="4BFF220C">
        <w:t xml:space="preserve">he </w:t>
      </w:r>
      <w:r>
        <w:t>draft r</w:t>
      </w:r>
      <w:r w:rsidR="4BFF220C" w:rsidRPr="4BFF220C">
        <w:t xml:space="preserve">eport does not directly address the rapid advances of regional utilities in replacing much larger coal power plants </w:t>
      </w:r>
      <w:r w:rsidR="00550775">
        <w:t xml:space="preserve">(Figure 2) </w:t>
      </w:r>
      <w:r w:rsidR="4BFF220C" w:rsidRPr="4BFF220C">
        <w:t xml:space="preserve">with </w:t>
      </w:r>
      <w:r w:rsidR="00501FA6">
        <w:t xml:space="preserve">clean </w:t>
      </w:r>
      <w:r w:rsidR="4BFF220C" w:rsidRPr="4BFF220C">
        <w:t>generation, storage</w:t>
      </w:r>
      <w:r w:rsidR="00CD066D">
        <w:t>,</w:t>
      </w:r>
      <w:r w:rsidR="4BFF220C" w:rsidRPr="4BFF220C">
        <w:t xml:space="preserve"> and customer side replacement resources scheduled to be in operation within the next </w:t>
      </w:r>
      <w:r w:rsidR="009B1338">
        <w:t>five</w:t>
      </w:r>
      <w:r w:rsidR="4BFF220C" w:rsidRPr="4BFF220C">
        <w:t xml:space="preserve"> years. This new development </w:t>
      </w:r>
      <w:r w:rsidR="4BFF220C" w:rsidRPr="4BFF220C">
        <w:lastRenderedPageBreak/>
        <w:t>pipeline creates significant opportunity for LSR</w:t>
      </w:r>
      <w:r w:rsidR="00CD066D">
        <w:t>D</w:t>
      </w:r>
      <w:r w:rsidR="4BFF220C" w:rsidRPr="4BFF220C">
        <w:t xml:space="preserve"> clean energy replacement.</w:t>
      </w:r>
      <w:r w:rsidR="00A11016">
        <w:t xml:space="preserve"> The final report should include past and current resource replacements as examples for how LSRD replacement could proceed.</w:t>
      </w:r>
    </w:p>
    <w:p w14:paraId="19458C95" w14:textId="62C4A52B" w:rsidR="00550775" w:rsidRDefault="00550775" w:rsidP="00550775">
      <w:pPr>
        <w:jc w:val="center"/>
      </w:pPr>
      <w:r>
        <w:rPr>
          <w:noProof/>
        </w:rPr>
        <w:drawing>
          <wp:inline distT="0" distB="0" distL="0" distR="0" wp14:anchorId="3EE19B9C" wp14:editId="57CB9DFC">
            <wp:extent cx="4114800" cy="2327324"/>
            <wp:effectExtent l="12700" t="12700" r="1270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28294" cy="2334956"/>
                    </a:xfrm>
                    <a:prstGeom prst="rect">
                      <a:avLst/>
                    </a:prstGeom>
                    <a:ln>
                      <a:solidFill>
                        <a:schemeClr val="tx1"/>
                      </a:solidFill>
                    </a:ln>
                  </pic:spPr>
                </pic:pic>
              </a:graphicData>
            </a:graphic>
          </wp:inline>
        </w:drawing>
      </w:r>
    </w:p>
    <w:p w14:paraId="2D0146E0" w14:textId="2F0054BB" w:rsidR="00550775" w:rsidRDefault="00550775" w:rsidP="00550775">
      <w:pPr>
        <w:jc w:val="center"/>
      </w:pPr>
      <w:r w:rsidRPr="00550775">
        <w:rPr>
          <w:sz w:val="18"/>
          <w:szCs w:val="18"/>
        </w:rPr>
        <w:t xml:space="preserve">Figure </w:t>
      </w:r>
      <w:r>
        <w:rPr>
          <w:sz w:val="18"/>
          <w:szCs w:val="18"/>
        </w:rPr>
        <w:t>2: Power output of retired generating resources.</w:t>
      </w:r>
    </w:p>
    <w:p w14:paraId="28D0F71E" w14:textId="4A5FE131" w:rsidR="00A11016" w:rsidRPr="00CD066D" w:rsidRDefault="00CD066D" w:rsidP="00CD066D">
      <w:pPr>
        <w:rPr>
          <w:rFonts w:ascii="Calibri" w:eastAsia="Calibri" w:hAnsi="Calibri" w:cs="Calibri"/>
          <w:color w:val="000000" w:themeColor="text1"/>
        </w:rPr>
      </w:pPr>
      <w:r w:rsidRPr="7085A547">
        <w:rPr>
          <w:rFonts w:ascii="Calibri" w:eastAsia="Calibri" w:hAnsi="Calibri" w:cs="Calibri"/>
          <w:color w:val="000000" w:themeColor="text1"/>
        </w:rPr>
        <w:t>Second, t</w:t>
      </w:r>
      <w:r w:rsidR="4BFF220C" w:rsidRPr="7085A547">
        <w:rPr>
          <w:rFonts w:ascii="Calibri" w:eastAsia="Calibri" w:hAnsi="Calibri" w:cs="Calibri"/>
          <w:color w:val="000000" w:themeColor="text1"/>
        </w:rPr>
        <w:t xml:space="preserve">he </w:t>
      </w:r>
      <w:r w:rsidR="00A11016">
        <w:rPr>
          <w:rFonts w:ascii="Calibri" w:eastAsia="Calibri" w:hAnsi="Calibri" w:cs="Calibri"/>
          <w:color w:val="000000" w:themeColor="text1"/>
        </w:rPr>
        <w:t xml:space="preserve">draft </w:t>
      </w:r>
      <w:r w:rsidR="4BFF220C" w:rsidRPr="7085A547">
        <w:rPr>
          <w:rFonts w:ascii="Calibri" w:eastAsia="Calibri" w:hAnsi="Calibri" w:cs="Calibri"/>
          <w:color w:val="000000" w:themeColor="text1"/>
        </w:rPr>
        <w:t>report</w:t>
      </w:r>
      <w:r w:rsidR="00A11016">
        <w:rPr>
          <w:rFonts w:ascii="Calibri" w:eastAsia="Calibri" w:hAnsi="Calibri" w:cs="Calibri"/>
          <w:color w:val="000000" w:themeColor="text1"/>
        </w:rPr>
        <w:t xml:space="preserve"> estimates</w:t>
      </w:r>
      <w:r w:rsidR="4BFF220C" w:rsidRPr="7085A547">
        <w:rPr>
          <w:rFonts w:ascii="Calibri" w:eastAsia="Calibri" w:hAnsi="Calibri" w:cs="Calibri"/>
          <w:color w:val="000000" w:themeColor="text1"/>
        </w:rPr>
        <w:t xml:space="preserve"> energy replacement cost</w:t>
      </w:r>
      <w:r w:rsidR="00A11016">
        <w:rPr>
          <w:rFonts w:ascii="Calibri" w:eastAsia="Calibri" w:hAnsi="Calibri" w:cs="Calibri"/>
          <w:color w:val="000000" w:themeColor="text1"/>
        </w:rPr>
        <w:t xml:space="preserve">s </w:t>
      </w:r>
      <w:r w:rsidR="4BFF220C" w:rsidRPr="7085A547">
        <w:rPr>
          <w:rFonts w:ascii="Calibri" w:eastAsia="Calibri" w:hAnsi="Calibri" w:cs="Calibri"/>
          <w:color w:val="000000" w:themeColor="text1"/>
        </w:rPr>
        <w:t>us</w:t>
      </w:r>
      <w:r w:rsidR="00A11016">
        <w:rPr>
          <w:rFonts w:ascii="Calibri" w:eastAsia="Calibri" w:hAnsi="Calibri" w:cs="Calibri"/>
          <w:color w:val="000000" w:themeColor="text1"/>
        </w:rPr>
        <w:t>ing</w:t>
      </w:r>
      <w:r w:rsidR="4BFF220C" w:rsidRPr="7085A547">
        <w:rPr>
          <w:rFonts w:ascii="Calibri" w:eastAsia="Calibri" w:hAnsi="Calibri" w:cs="Calibri"/>
          <w:color w:val="000000" w:themeColor="text1"/>
        </w:rPr>
        <w:t xml:space="preserve"> a simplified </w:t>
      </w:r>
      <w:r w:rsidR="005A4DCD">
        <w:rPr>
          <w:rFonts w:ascii="Calibri" w:eastAsia="Calibri" w:hAnsi="Calibri" w:cs="Calibri"/>
          <w:color w:val="000000" w:themeColor="text1"/>
        </w:rPr>
        <w:t>method</w:t>
      </w:r>
      <w:r w:rsidR="4BFF220C" w:rsidRPr="7085A547">
        <w:rPr>
          <w:rFonts w:ascii="Calibri" w:eastAsia="Calibri" w:hAnsi="Calibri" w:cs="Calibri"/>
          <w:color w:val="000000" w:themeColor="text1"/>
        </w:rPr>
        <w:t xml:space="preserve"> in which costs are projected over 50 years. </w:t>
      </w:r>
      <w:r w:rsidR="00A11016">
        <w:rPr>
          <w:rFonts w:ascii="Calibri" w:eastAsia="Calibri" w:hAnsi="Calibri" w:cs="Calibri"/>
          <w:color w:val="000000" w:themeColor="text1"/>
        </w:rPr>
        <w:t xml:space="preserve">However, the draft report does not contain a similar projection for the costs of keeping the dams over an equivalent timeframe. </w:t>
      </w:r>
      <w:r w:rsidR="00632601">
        <w:t>Beyond maintenance and upkeep for this aging infrastructure, w</w:t>
      </w:r>
      <w:r w:rsidR="00501FA6">
        <w:t>e know that the benefits of replacing the dams substantially exceed the benefits of keeping them</w:t>
      </w:r>
      <w:r w:rsidR="008A2FF6">
        <w:t>.</w:t>
      </w:r>
      <w:r w:rsidR="4BFF220C" w:rsidRPr="7085A547">
        <w:rPr>
          <w:rFonts w:ascii="Calibri" w:eastAsia="Calibri" w:hAnsi="Calibri" w:cs="Calibri"/>
          <w:color w:val="000000" w:themeColor="text1"/>
        </w:rPr>
        <w:t xml:space="preserve"> </w:t>
      </w:r>
      <w:r w:rsidR="00DB03EA">
        <w:rPr>
          <w:rFonts w:ascii="Calibri" w:eastAsia="Calibri" w:hAnsi="Calibri" w:cs="Calibri"/>
          <w:color w:val="000000" w:themeColor="text1"/>
        </w:rPr>
        <w:t>The science is clear that keeping the dams will lead to salmon extinction and breaching them will not. The final report should be clear in its assessment of the costs and risks of inaction.</w:t>
      </w:r>
    </w:p>
    <w:p w14:paraId="7DB2D8BC" w14:textId="6BC7555C" w:rsidR="00823781" w:rsidRPr="00CD066D" w:rsidRDefault="4BFF220C" w:rsidP="00CD066D">
      <w:pPr>
        <w:rPr>
          <w:rFonts w:ascii="Calibri" w:eastAsia="Calibri" w:hAnsi="Calibri" w:cs="Calibri"/>
          <w:color w:val="000000" w:themeColor="text1"/>
        </w:rPr>
      </w:pPr>
      <w:r w:rsidRPr="00CD066D">
        <w:rPr>
          <w:rFonts w:ascii="Calibri" w:eastAsia="Calibri" w:hAnsi="Calibri" w:cs="Calibri"/>
          <w:color w:val="000000" w:themeColor="text1"/>
        </w:rPr>
        <w:t>Th</w:t>
      </w:r>
      <w:r w:rsidR="00992C98">
        <w:rPr>
          <w:rFonts w:ascii="Calibri" w:eastAsia="Calibri" w:hAnsi="Calibri" w:cs="Calibri"/>
          <w:color w:val="000000" w:themeColor="text1"/>
        </w:rPr>
        <w:t>ird, th</w:t>
      </w:r>
      <w:r w:rsidRPr="00CD066D">
        <w:rPr>
          <w:rFonts w:ascii="Calibri" w:eastAsia="Calibri" w:hAnsi="Calibri" w:cs="Calibri"/>
          <w:color w:val="000000" w:themeColor="text1"/>
        </w:rPr>
        <w:t xml:space="preserve">e cost projection makes the overall costs of the energy replacement portfolio appear inflated when compared to other resource cost methodologies commonly used in resource planning, such as annualized capital costs. </w:t>
      </w:r>
      <w:r w:rsidR="00960A86">
        <w:rPr>
          <w:rFonts w:ascii="Calibri" w:eastAsia="Calibri" w:hAnsi="Calibri" w:cs="Calibri"/>
          <w:color w:val="000000" w:themeColor="text1"/>
        </w:rPr>
        <w:t>The final report should use these other cost methodologies when comparing the costs of energy replacement vs. keeping the dams in place. In addition, it’s expected that once replacement moves forward, the region would undergo a</w:t>
      </w:r>
      <w:r w:rsidRPr="00CD066D">
        <w:rPr>
          <w:rFonts w:ascii="Calibri" w:eastAsia="Calibri" w:hAnsi="Calibri" w:cs="Calibri"/>
          <w:color w:val="000000" w:themeColor="text1"/>
        </w:rPr>
        <w:t xml:space="preserve"> competitive procurement process </w:t>
      </w:r>
      <w:r w:rsidR="00960A86">
        <w:rPr>
          <w:rFonts w:ascii="Calibri" w:eastAsia="Calibri" w:hAnsi="Calibri" w:cs="Calibri"/>
          <w:color w:val="000000" w:themeColor="text1"/>
        </w:rPr>
        <w:t xml:space="preserve">to choose the right </w:t>
      </w:r>
      <w:r w:rsidR="007A098A">
        <w:rPr>
          <w:rFonts w:ascii="Calibri" w:eastAsia="Calibri" w:hAnsi="Calibri" w:cs="Calibri"/>
          <w:color w:val="000000" w:themeColor="text1"/>
        </w:rPr>
        <w:t xml:space="preserve">clean energy </w:t>
      </w:r>
      <w:r w:rsidR="00960A86">
        <w:rPr>
          <w:rFonts w:ascii="Calibri" w:eastAsia="Calibri" w:hAnsi="Calibri" w:cs="Calibri"/>
          <w:color w:val="000000" w:themeColor="text1"/>
        </w:rPr>
        <w:t xml:space="preserve">resources to replace the dams. This process would create the optimal </w:t>
      </w:r>
      <w:r w:rsidR="007A098A">
        <w:rPr>
          <w:rFonts w:ascii="Calibri" w:eastAsia="Calibri" w:hAnsi="Calibri" w:cs="Calibri"/>
          <w:color w:val="000000" w:themeColor="text1"/>
        </w:rPr>
        <w:t xml:space="preserve">clean energy </w:t>
      </w:r>
      <w:r w:rsidR="00960A86">
        <w:rPr>
          <w:rFonts w:ascii="Calibri" w:eastAsia="Calibri" w:hAnsi="Calibri" w:cs="Calibri"/>
          <w:color w:val="000000" w:themeColor="text1"/>
        </w:rPr>
        <w:t xml:space="preserve">generation portfolio, at the best cost available on the open </w:t>
      </w:r>
      <w:r w:rsidRPr="00CD066D">
        <w:rPr>
          <w:rFonts w:ascii="Calibri" w:eastAsia="Calibri" w:hAnsi="Calibri" w:cs="Calibri"/>
          <w:color w:val="000000" w:themeColor="text1"/>
        </w:rPr>
        <w:t>market</w:t>
      </w:r>
      <w:r w:rsidR="00960A86">
        <w:rPr>
          <w:rFonts w:ascii="Calibri" w:eastAsia="Calibri" w:hAnsi="Calibri" w:cs="Calibri"/>
          <w:color w:val="000000" w:themeColor="text1"/>
        </w:rPr>
        <w:t>. The final report should make this clear in reporting cost estimates of energy replacement.</w:t>
      </w:r>
    </w:p>
    <w:p w14:paraId="0DA62677" w14:textId="65293E59" w:rsidR="00823781" w:rsidRDefault="00992C98" w:rsidP="00CD066D">
      <w:pPr>
        <w:rPr>
          <w:rFonts w:ascii="Calibri" w:eastAsia="Calibri" w:hAnsi="Calibri" w:cs="Calibri"/>
          <w:color w:val="000000" w:themeColor="text1"/>
        </w:rPr>
      </w:pPr>
      <w:r>
        <w:rPr>
          <w:rFonts w:ascii="Calibri" w:eastAsia="Calibri" w:hAnsi="Calibri" w:cs="Calibri"/>
          <w:color w:val="000000" w:themeColor="text1"/>
        </w:rPr>
        <w:t>Fourth, c</w:t>
      </w:r>
      <w:r w:rsidR="4BFF220C" w:rsidRPr="00CD066D">
        <w:rPr>
          <w:rFonts w:ascii="Calibri" w:eastAsia="Calibri" w:hAnsi="Calibri" w:cs="Calibri"/>
          <w:color w:val="000000" w:themeColor="text1"/>
        </w:rPr>
        <w:t xml:space="preserve">ost increases in the studies summarized in the </w:t>
      </w:r>
      <w:r w:rsidR="00960A86">
        <w:rPr>
          <w:rFonts w:ascii="Calibri" w:eastAsia="Calibri" w:hAnsi="Calibri" w:cs="Calibri"/>
          <w:color w:val="000000" w:themeColor="text1"/>
        </w:rPr>
        <w:t xml:space="preserve">draft </w:t>
      </w:r>
      <w:r w:rsidR="4BFF220C" w:rsidRPr="00CD066D">
        <w:rPr>
          <w:rFonts w:ascii="Calibri" w:eastAsia="Calibri" w:hAnsi="Calibri" w:cs="Calibri"/>
          <w:color w:val="000000" w:themeColor="text1"/>
        </w:rPr>
        <w:t xml:space="preserve">report are generated from a </w:t>
      </w:r>
      <w:r>
        <w:rPr>
          <w:rFonts w:ascii="Calibri" w:eastAsia="Calibri" w:hAnsi="Calibri" w:cs="Calibri"/>
          <w:color w:val="000000" w:themeColor="text1"/>
        </w:rPr>
        <w:t>one-to-one</w:t>
      </w:r>
      <w:r w:rsidR="4BFF220C" w:rsidRPr="00CD066D">
        <w:rPr>
          <w:rFonts w:ascii="Calibri" w:eastAsia="Calibri" w:hAnsi="Calibri" w:cs="Calibri"/>
          <w:color w:val="000000" w:themeColor="text1"/>
        </w:rPr>
        <w:t xml:space="preserve"> replacement of LSRD services, but, based on E</w:t>
      </w:r>
      <w:r>
        <w:rPr>
          <w:rFonts w:ascii="Calibri" w:eastAsia="Calibri" w:hAnsi="Calibri" w:cs="Calibri"/>
          <w:color w:val="000000" w:themeColor="text1"/>
        </w:rPr>
        <w:t xml:space="preserve">nergy </w:t>
      </w:r>
      <w:r w:rsidR="4BFF220C" w:rsidRPr="00CD066D">
        <w:rPr>
          <w:rFonts w:ascii="Calibri" w:eastAsia="Calibri" w:hAnsi="Calibri" w:cs="Calibri"/>
          <w:color w:val="000000" w:themeColor="text1"/>
        </w:rPr>
        <w:t>S</w:t>
      </w:r>
      <w:r>
        <w:rPr>
          <w:rFonts w:ascii="Calibri" w:eastAsia="Calibri" w:hAnsi="Calibri" w:cs="Calibri"/>
          <w:color w:val="000000" w:themeColor="text1"/>
        </w:rPr>
        <w:t>trategies</w:t>
      </w:r>
      <w:r w:rsidR="4BFF220C" w:rsidRPr="00CD066D">
        <w:rPr>
          <w:rFonts w:ascii="Calibri" w:eastAsia="Calibri" w:hAnsi="Calibri" w:cs="Calibri"/>
          <w:color w:val="000000" w:themeColor="text1"/>
        </w:rPr>
        <w:t xml:space="preserve"> 2022, the report also shows that we can choose a portfolio that better matches future supply and demand and </w:t>
      </w:r>
      <w:r w:rsidR="00314322">
        <w:rPr>
          <w:rFonts w:ascii="Calibri" w:eastAsia="Calibri" w:hAnsi="Calibri" w:cs="Calibri"/>
          <w:color w:val="000000" w:themeColor="text1"/>
        </w:rPr>
        <w:t xml:space="preserve">significantly </w:t>
      </w:r>
      <w:r w:rsidR="4BFF220C" w:rsidRPr="00CD066D">
        <w:rPr>
          <w:rFonts w:ascii="Calibri" w:eastAsia="Calibri" w:hAnsi="Calibri" w:cs="Calibri"/>
          <w:color w:val="000000" w:themeColor="text1"/>
        </w:rPr>
        <w:t>decrease</w:t>
      </w:r>
      <w:r w:rsidR="00314322">
        <w:rPr>
          <w:rFonts w:ascii="Calibri" w:eastAsia="Calibri" w:hAnsi="Calibri" w:cs="Calibri"/>
          <w:color w:val="000000" w:themeColor="text1"/>
        </w:rPr>
        <w:t>s</w:t>
      </w:r>
      <w:r w:rsidR="4BFF220C" w:rsidRPr="00CD066D">
        <w:rPr>
          <w:rFonts w:ascii="Calibri" w:eastAsia="Calibri" w:hAnsi="Calibri" w:cs="Calibri"/>
          <w:color w:val="000000" w:themeColor="text1"/>
        </w:rPr>
        <w:t xml:space="preserve"> the net costs</w:t>
      </w:r>
      <w:r w:rsidR="00960A86">
        <w:rPr>
          <w:rFonts w:ascii="Calibri" w:eastAsia="Calibri" w:hAnsi="Calibri" w:cs="Calibri"/>
          <w:color w:val="000000" w:themeColor="text1"/>
        </w:rPr>
        <w:t xml:space="preserve"> of replacement</w:t>
      </w:r>
      <w:r w:rsidR="4BFF220C" w:rsidRPr="00CD066D">
        <w:rPr>
          <w:rFonts w:ascii="Calibri" w:eastAsia="Calibri" w:hAnsi="Calibri" w:cs="Calibri"/>
          <w:color w:val="000000" w:themeColor="text1"/>
        </w:rPr>
        <w:t>.</w:t>
      </w:r>
      <w:r>
        <w:rPr>
          <w:rStyle w:val="FootnoteReference"/>
          <w:rFonts w:ascii="Calibri" w:eastAsia="Calibri" w:hAnsi="Calibri" w:cs="Calibri"/>
          <w:color w:val="000000" w:themeColor="text1"/>
        </w:rPr>
        <w:footnoteReference w:id="3"/>
      </w:r>
      <w:r w:rsidR="4BFF220C" w:rsidRPr="00CD066D">
        <w:rPr>
          <w:rFonts w:ascii="Calibri" w:eastAsia="Calibri" w:hAnsi="Calibri" w:cs="Calibri"/>
          <w:color w:val="000000" w:themeColor="text1"/>
        </w:rPr>
        <w:t xml:space="preserve"> </w:t>
      </w:r>
      <w:r w:rsidR="00314322">
        <w:rPr>
          <w:rFonts w:ascii="Calibri" w:eastAsia="Calibri" w:hAnsi="Calibri" w:cs="Calibri"/>
          <w:color w:val="000000" w:themeColor="text1"/>
        </w:rPr>
        <w:t xml:space="preserve">The study does report on Energy Strategies 2022 and its optimized replacement </w:t>
      </w:r>
      <w:r w:rsidR="00314322">
        <w:rPr>
          <w:rFonts w:ascii="Calibri" w:eastAsia="Calibri" w:hAnsi="Calibri" w:cs="Calibri"/>
          <w:color w:val="000000" w:themeColor="text1"/>
        </w:rPr>
        <w:lastRenderedPageBreak/>
        <w:t>mix but it doesn’t directly address this point or the additional revenue these improved replacement portfolios will generate by producing more power when it’s more valuable.</w:t>
      </w:r>
      <w:r w:rsidR="00960A86">
        <w:rPr>
          <w:rFonts w:ascii="Calibri" w:eastAsia="Calibri" w:hAnsi="Calibri" w:cs="Calibri"/>
          <w:color w:val="000000" w:themeColor="text1"/>
        </w:rPr>
        <w:t xml:space="preserve"> The final report should make this clear and report on the annual net costs of both the current system and a replacement energy portfolio.</w:t>
      </w:r>
    </w:p>
    <w:p w14:paraId="22EE75A8" w14:textId="5EB0B0AD" w:rsidR="00DD32F9" w:rsidRDefault="00DD32F9" w:rsidP="00CD066D">
      <w:pPr>
        <w:rPr>
          <w:rFonts w:ascii="Calibri" w:eastAsia="Calibri" w:hAnsi="Calibri" w:cs="Calibri"/>
          <w:color w:val="000000" w:themeColor="text1"/>
        </w:rPr>
      </w:pPr>
      <w:r>
        <w:rPr>
          <w:rFonts w:ascii="Calibri" w:eastAsia="Calibri" w:hAnsi="Calibri" w:cs="Calibri"/>
          <w:color w:val="000000" w:themeColor="text1"/>
        </w:rPr>
        <w:t>Fifth, it is heartening that the draft report highlighted the necessity of equity in any future path for the LSRD, especially for low-income customers and vulnerable communities. However, the report misstates the legal standard under the Clean Energy transformation Act (CETA) by saying, “If the cost of the replacement portfolio falls on regional ratepayers, th</w:t>
      </w:r>
      <w:r w:rsidR="004C36F2">
        <w:rPr>
          <w:rFonts w:ascii="Calibri" w:eastAsia="Calibri" w:hAnsi="Calibri" w:cs="Calibri"/>
          <w:color w:val="000000" w:themeColor="text1"/>
        </w:rPr>
        <w:t>is</w:t>
      </w:r>
      <w:r>
        <w:rPr>
          <w:rFonts w:ascii="Calibri" w:eastAsia="Calibri" w:hAnsi="Calibri" w:cs="Calibri"/>
          <w:color w:val="000000" w:themeColor="text1"/>
        </w:rPr>
        <w:t xml:space="preserve"> would likely lead to rate increases across BPA customers and could run counter to the provision</w:t>
      </w:r>
      <w:r w:rsidR="004C36F2">
        <w:rPr>
          <w:rFonts w:ascii="Calibri" w:eastAsia="Calibri" w:hAnsi="Calibri" w:cs="Calibri"/>
          <w:color w:val="000000" w:themeColor="text1"/>
        </w:rPr>
        <w:t>s</w:t>
      </w:r>
      <w:r>
        <w:rPr>
          <w:rFonts w:ascii="Calibri" w:eastAsia="Calibri" w:hAnsi="Calibri" w:cs="Calibri"/>
          <w:color w:val="000000" w:themeColor="text1"/>
        </w:rPr>
        <w:t xml:space="preserve"> within CETA that require the energy burden is reduced for low-income customers.” CETA does require that Washington utilities offer assistance to reduce energy burden. However, the relevant standard in CETA is the requirement to ensure “the </w:t>
      </w:r>
      <w:r w:rsidR="004C36F2">
        <w:rPr>
          <w:rFonts w:ascii="Calibri" w:eastAsia="Calibri" w:hAnsi="Calibri" w:cs="Calibri"/>
          <w:color w:val="000000" w:themeColor="text1"/>
        </w:rPr>
        <w:t>equitable distribution of energy benefits and reductions of burdens to vulnerable populations and highly impacted communities; long-term and short-term public health, economic, and environmental benefits and the reduction of costs and risks; and energy security and resiliency.” The LSRD have had an inequitable burden on vulnerable communities, specifically Tribes that rely on salmon for health and economy, for decades. We can replace the LSRD, meet our state energy goals, and reduce energy, health, environmental, and economic burdens on vulnerable communities simultaneously.</w:t>
      </w:r>
    </w:p>
    <w:p w14:paraId="226E705D" w14:textId="5FF707AE" w:rsidR="00823781" w:rsidRPr="007577D0" w:rsidRDefault="00F85EF0" w:rsidP="00CD066D">
      <w:r>
        <w:rPr>
          <w:rFonts w:ascii="Calibri" w:eastAsia="Calibri" w:hAnsi="Calibri" w:cs="Calibri"/>
          <w:color w:val="000000" w:themeColor="text1"/>
        </w:rPr>
        <w:t>Sixth,</w:t>
      </w:r>
      <w:r w:rsidR="4BFF220C" w:rsidRPr="00CD066D">
        <w:rPr>
          <w:rFonts w:ascii="Calibri" w:eastAsia="Calibri" w:hAnsi="Calibri" w:cs="Calibri"/>
          <w:color w:val="000000" w:themeColor="text1"/>
        </w:rPr>
        <w:t xml:space="preserve"> the </w:t>
      </w:r>
      <w:r w:rsidR="00960A86">
        <w:rPr>
          <w:rFonts w:ascii="Calibri" w:eastAsia="Calibri" w:hAnsi="Calibri" w:cs="Calibri"/>
          <w:color w:val="000000" w:themeColor="text1"/>
        </w:rPr>
        <w:t xml:space="preserve">draft </w:t>
      </w:r>
      <w:r w:rsidR="4BFF220C" w:rsidRPr="00CD066D">
        <w:rPr>
          <w:rFonts w:ascii="Calibri" w:eastAsia="Calibri" w:hAnsi="Calibri" w:cs="Calibri"/>
          <w:color w:val="000000" w:themeColor="text1"/>
        </w:rPr>
        <w:t>report states that continued advancement of battery technology is necessary to address future dispatchable energy needs. The final report should be clear that while</w:t>
      </w:r>
      <w:r w:rsidR="00314322">
        <w:rPr>
          <w:rFonts w:ascii="Calibri" w:eastAsia="Calibri" w:hAnsi="Calibri" w:cs="Calibri"/>
          <w:color w:val="000000" w:themeColor="text1"/>
        </w:rPr>
        <w:t xml:space="preserve"> it may be true that future </w:t>
      </w:r>
      <w:r w:rsidR="00431405">
        <w:rPr>
          <w:rFonts w:ascii="Calibri" w:eastAsia="Calibri" w:hAnsi="Calibri" w:cs="Calibri"/>
          <w:color w:val="000000" w:themeColor="text1"/>
        </w:rPr>
        <w:t xml:space="preserve">technology </w:t>
      </w:r>
      <w:r w:rsidR="00314322">
        <w:rPr>
          <w:rFonts w:ascii="Calibri" w:eastAsia="Calibri" w:hAnsi="Calibri" w:cs="Calibri"/>
          <w:color w:val="000000" w:themeColor="text1"/>
        </w:rPr>
        <w:t xml:space="preserve">development will make replacing the services of the LSRD even easier, </w:t>
      </w:r>
      <w:r w:rsidR="00431405">
        <w:rPr>
          <w:rFonts w:ascii="Calibri" w:eastAsia="Calibri" w:hAnsi="Calibri" w:cs="Calibri"/>
          <w:color w:val="000000" w:themeColor="text1"/>
        </w:rPr>
        <w:t xml:space="preserve">current </w:t>
      </w:r>
      <w:r w:rsidR="4BFF220C" w:rsidRPr="00CD066D">
        <w:rPr>
          <w:rFonts w:ascii="Calibri" w:eastAsia="Calibri" w:hAnsi="Calibri" w:cs="Calibri"/>
          <w:color w:val="000000" w:themeColor="text1"/>
        </w:rPr>
        <w:t>battery technology</w:t>
      </w:r>
      <w:r w:rsidR="00431405">
        <w:rPr>
          <w:rFonts w:ascii="Calibri" w:eastAsia="Calibri" w:hAnsi="Calibri" w:cs="Calibri"/>
          <w:color w:val="000000" w:themeColor="text1"/>
        </w:rPr>
        <w:t xml:space="preserve">, effectively deployed, can </w:t>
      </w:r>
      <w:r w:rsidR="4BFF220C" w:rsidRPr="00CD066D">
        <w:rPr>
          <w:rFonts w:ascii="Calibri" w:eastAsia="Calibri" w:hAnsi="Calibri" w:cs="Calibri"/>
          <w:color w:val="000000" w:themeColor="text1"/>
        </w:rPr>
        <w:t xml:space="preserve">replace the energy services of the </w:t>
      </w:r>
      <w:r>
        <w:rPr>
          <w:rFonts w:ascii="Calibri" w:eastAsia="Calibri" w:hAnsi="Calibri" w:cs="Calibri"/>
          <w:color w:val="000000" w:themeColor="text1"/>
        </w:rPr>
        <w:t>LSRD</w:t>
      </w:r>
      <w:r w:rsidR="4BFF220C" w:rsidRPr="00CD066D">
        <w:rPr>
          <w:rFonts w:ascii="Calibri" w:eastAsia="Calibri" w:hAnsi="Calibri" w:cs="Calibri"/>
          <w:color w:val="000000" w:themeColor="text1"/>
        </w:rPr>
        <w:t>. Multiple analyses</w:t>
      </w:r>
      <w:r w:rsidR="00960A86">
        <w:rPr>
          <w:rFonts w:ascii="Calibri" w:eastAsia="Calibri" w:hAnsi="Calibri" w:cs="Calibri"/>
          <w:color w:val="000000" w:themeColor="text1"/>
        </w:rPr>
        <w:t>,</w:t>
      </w:r>
      <w:r w:rsidR="00DE3335" w:rsidRPr="00DE3335">
        <w:rPr>
          <w:rFonts w:ascii="Calibri" w:eastAsia="Calibri" w:hAnsi="Calibri" w:cs="Calibri"/>
          <w:color w:val="000000" w:themeColor="text1"/>
          <w:vertAlign w:val="superscript"/>
        </w:rPr>
        <w:t xml:space="preserve"> </w:t>
      </w:r>
      <w:r w:rsidR="00DE3335">
        <w:rPr>
          <w:rFonts w:ascii="Calibri" w:eastAsia="Calibri" w:hAnsi="Calibri" w:cs="Calibri"/>
          <w:color w:val="000000" w:themeColor="text1"/>
          <w:vertAlign w:val="superscript"/>
        </w:rPr>
        <w:t>3</w:t>
      </w:r>
      <w:r w:rsidR="00960A86">
        <w:rPr>
          <w:rFonts w:ascii="Calibri" w:eastAsia="Calibri" w:hAnsi="Calibri" w:cs="Calibri"/>
          <w:color w:val="000000" w:themeColor="text1"/>
        </w:rPr>
        <w:t xml:space="preserve"> even the 2020 CRSO EIS,</w:t>
      </w:r>
      <w:r w:rsidR="00DE3335" w:rsidRPr="00DE3335">
        <w:rPr>
          <w:rFonts w:ascii="Calibri" w:eastAsia="Calibri" w:hAnsi="Calibri" w:cs="Calibri"/>
          <w:color w:val="000000" w:themeColor="text1"/>
          <w:vertAlign w:val="superscript"/>
        </w:rPr>
        <w:t xml:space="preserve"> </w:t>
      </w:r>
      <w:r w:rsidR="00DE3335">
        <w:rPr>
          <w:rFonts w:ascii="Calibri" w:eastAsia="Calibri" w:hAnsi="Calibri" w:cs="Calibri"/>
          <w:color w:val="000000" w:themeColor="text1"/>
          <w:vertAlign w:val="superscript"/>
        </w:rPr>
        <w:t>2</w:t>
      </w:r>
      <w:r w:rsidR="4BFF220C" w:rsidRPr="00CD066D">
        <w:rPr>
          <w:rFonts w:ascii="Calibri" w:eastAsia="Calibri" w:hAnsi="Calibri" w:cs="Calibri"/>
          <w:color w:val="000000" w:themeColor="text1"/>
        </w:rPr>
        <w:t xml:space="preserve"> have shown that currently available clean energy technologies, including existing </w:t>
      </w:r>
      <w:r w:rsidR="00960A86">
        <w:rPr>
          <w:rFonts w:ascii="Calibri" w:eastAsia="Calibri" w:hAnsi="Calibri" w:cs="Calibri"/>
          <w:color w:val="000000" w:themeColor="text1"/>
        </w:rPr>
        <w:t xml:space="preserve">4-hour storage </w:t>
      </w:r>
      <w:r w:rsidR="4BFF220C" w:rsidRPr="00CD066D">
        <w:rPr>
          <w:rFonts w:ascii="Calibri" w:eastAsia="Calibri" w:hAnsi="Calibri" w:cs="Calibri"/>
          <w:color w:val="000000" w:themeColor="text1"/>
        </w:rPr>
        <w:t>battery technology, can replace and improve upon the energy production of the dams</w:t>
      </w:r>
      <w:r w:rsidR="4BFF220C" w:rsidRPr="007577D0">
        <w:t xml:space="preserve">. </w:t>
      </w:r>
      <w:r w:rsidR="007577D0" w:rsidRPr="007577D0">
        <w:t xml:space="preserve">The draft report cites recent rapid expansion of battery storage in California, which is expected to continue. Development data from this year shows the trend is nationwide. Despite supply challenges, first quarter energy storage development quadrupled </w:t>
      </w:r>
      <w:r w:rsidR="007577D0">
        <w:t>in</w:t>
      </w:r>
      <w:r w:rsidR="007577D0" w:rsidRPr="007577D0">
        <w:t xml:space="preserve"> 2022</w:t>
      </w:r>
      <w:r w:rsidR="007577D0">
        <w:t xml:space="preserve"> compared to the same period in 2021</w:t>
      </w:r>
      <w:r w:rsidR="007577D0" w:rsidRPr="007577D0">
        <w:t>.</w:t>
      </w:r>
      <w:r w:rsidR="007577D0">
        <w:rPr>
          <w:rStyle w:val="FootnoteReference"/>
        </w:rPr>
        <w:footnoteReference w:id="4"/>
      </w:r>
      <w:r w:rsidR="007577D0" w:rsidRPr="007577D0">
        <w:t xml:space="preserve"> In addition, longer-duration storage is no longer a technology of the future</w:t>
      </w:r>
      <w:r w:rsidR="001156DF">
        <w:t xml:space="preserve"> – it</w:t>
      </w:r>
      <w:r w:rsidR="005D062D">
        <w:t xml:space="preserve"> i</w:t>
      </w:r>
      <w:r w:rsidR="001156DF">
        <w:t>s</w:t>
      </w:r>
      <w:r w:rsidR="007577D0" w:rsidRPr="007577D0">
        <w:t xml:space="preserve"> being deployed now. Recently, a Department of Defense facility contracted with Lockheed Martin to deploy a new "flow battery", which will provide 10-hour energy storage as a pilot project, expected to </w:t>
      </w:r>
      <w:r w:rsidR="001156DF">
        <w:t>break ground this fall</w:t>
      </w:r>
      <w:r w:rsidR="007577D0" w:rsidRPr="007577D0">
        <w:t>.</w:t>
      </w:r>
      <w:r w:rsidR="001156DF">
        <w:rPr>
          <w:rStyle w:val="FootnoteReference"/>
        </w:rPr>
        <w:footnoteReference w:id="5"/>
      </w:r>
      <w:r w:rsidR="007577D0" w:rsidRPr="007577D0">
        <w:t xml:space="preserve"> Flow batteries of this type are already being deployed across the globe as a complement to the standard lithium batteries.</w:t>
      </w:r>
      <w:r w:rsidR="000E40D6">
        <w:rPr>
          <w:rStyle w:val="FootnoteReference"/>
        </w:rPr>
        <w:footnoteReference w:id="6"/>
      </w:r>
      <w:r w:rsidR="007577D0" w:rsidRPr="007577D0">
        <w:t xml:space="preserve"> Further development and penetration of these technologies will make LSRD replacement </w:t>
      </w:r>
      <w:r w:rsidR="007577D0" w:rsidRPr="007577D0">
        <w:lastRenderedPageBreak/>
        <w:t xml:space="preserve">easier and cheaper. These technologies are available now and will </w:t>
      </w:r>
      <w:r w:rsidR="00431405">
        <w:t>continue to scale up</w:t>
      </w:r>
      <w:r w:rsidR="007577D0" w:rsidRPr="007577D0">
        <w:t xml:space="preserve"> </w:t>
      </w:r>
      <w:r w:rsidR="00431405">
        <w:t>as</w:t>
      </w:r>
      <w:r w:rsidR="007577D0" w:rsidRPr="007577D0">
        <w:t xml:space="preserve"> the region seeks to replace the energy services of the dams.</w:t>
      </w:r>
    </w:p>
    <w:p w14:paraId="09166C6F" w14:textId="4EA0771A" w:rsidR="00823781" w:rsidRPr="00CD066D" w:rsidRDefault="00F85EF0" w:rsidP="00CD066D">
      <w:pPr>
        <w:rPr>
          <w:rFonts w:ascii="Calibri" w:eastAsia="Calibri" w:hAnsi="Calibri" w:cs="Calibri"/>
          <w:color w:val="000000" w:themeColor="text1"/>
        </w:rPr>
      </w:pPr>
      <w:r>
        <w:rPr>
          <w:rFonts w:ascii="Calibri" w:eastAsia="Calibri" w:hAnsi="Calibri" w:cs="Calibri"/>
          <w:color w:val="000000" w:themeColor="text1"/>
        </w:rPr>
        <w:t>Seventh,</w:t>
      </w:r>
      <w:r w:rsidR="4BFF220C" w:rsidRPr="00CD066D">
        <w:rPr>
          <w:rFonts w:ascii="Calibri" w:eastAsia="Calibri" w:hAnsi="Calibri" w:cs="Calibri"/>
          <w:color w:val="000000" w:themeColor="text1"/>
        </w:rPr>
        <w:t xml:space="preserve"> the </w:t>
      </w:r>
      <w:r w:rsidR="00960A86">
        <w:rPr>
          <w:rFonts w:ascii="Calibri" w:eastAsia="Calibri" w:hAnsi="Calibri" w:cs="Calibri"/>
          <w:color w:val="000000" w:themeColor="text1"/>
        </w:rPr>
        <w:t xml:space="preserve">draft </w:t>
      </w:r>
      <w:r w:rsidR="4BFF220C" w:rsidRPr="00CD066D">
        <w:rPr>
          <w:rFonts w:ascii="Calibri" w:eastAsia="Calibri" w:hAnsi="Calibri" w:cs="Calibri"/>
          <w:color w:val="000000" w:themeColor="text1"/>
        </w:rPr>
        <w:t>report cites the Zero-Carbon portfolio assembled by the 2020 CRSO EIS, but misstates how development of the portfolio would affect regional reliability</w:t>
      </w:r>
      <w:r w:rsidR="009B1338">
        <w:rPr>
          <w:rFonts w:ascii="Calibri" w:eastAsia="Calibri" w:hAnsi="Calibri" w:cs="Calibri"/>
          <w:color w:val="000000" w:themeColor="text1"/>
        </w:rPr>
        <w:t>:</w:t>
      </w:r>
    </w:p>
    <w:p w14:paraId="6F6B09F2" w14:textId="7D6FC41B" w:rsidR="00823781" w:rsidRDefault="4BFF220C" w:rsidP="00CD066D">
      <w:pPr>
        <w:ind w:left="720"/>
      </w:pPr>
      <w:r w:rsidRPr="4BFF220C">
        <w:t>On page 67, the report states: “The 2020 CRSO EIS Zero-Carbon portfolio includes solar generation in eastern Oregon as well as demand response in Seattle, Spokane and Portland to replace the energy production and services provided by the LSRD. The 2020 CRSO EIS forecasts that this replacement portfolio would lead to a 13.8% loss of load probability (LOLP).”</w:t>
      </w:r>
    </w:p>
    <w:p w14:paraId="75E1715B" w14:textId="601682ED" w:rsidR="00823781" w:rsidRDefault="4BFF220C" w:rsidP="00CD066D">
      <w:pPr>
        <w:ind w:left="720"/>
      </w:pPr>
      <w:r w:rsidRPr="00CD066D">
        <w:rPr>
          <w:rFonts w:ascii="Calibri" w:eastAsia="Calibri" w:hAnsi="Calibri" w:cs="Calibri"/>
          <w:color w:val="000000" w:themeColor="text1"/>
        </w:rPr>
        <w:t xml:space="preserve">On page 68, the report states: “However, according to the 2020 CRSO EIS, if the annual energy provided by the LSRD were to be </w:t>
      </w:r>
      <w:r w:rsidRPr="4BFF220C">
        <w:t>replaced by these energy sources the probability of a LOLP is expected to double compared to current operations from 6.6% to 13.8%.”</w:t>
      </w:r>
    </w:p>
    <w:p w14:paraId="5F1727FA" w14:textId="793BB558" w:rsidR="00823781" w:rsidRPr="00CD066D" w:rsidRDefault="4BFF220C" w:rsidP="00587439">
      <w:pPr>
        <w:rPr>
          <w:rFonts w:ascii="Calibri" w:eastAsia="Calibri" w:hAnsi="Calibri" w:cs="Calibri"/>
          <w:color w:val="000000" w:themeColor="text1"/>
        </w:rPr>
      </w:pPr>
      <w:r w:rsidRPr="00CD066D">
        <w:rPr>
          <w:rFonts w:ascii="Calibri" w:eastAsia="Calibri" w:hAnsi="Calibri" w:cs="Calibri"/>
          <w:color w:val="000000" w:themeColor="text1"/>
        </w:rPr>
        <w:t xml:space="preserve">These LOLP statistics are being used incorrectly. The EIS concludes that implementing MO3 would result in a Loss of Load Percentage (LOLP) of 14% </w:t>
      </w:r>
      <w:r w:rsidRPr="00CD066D">
        <w:rPr>
          <w:rFonts w:ascii="Calibri" w:eastAsia="Calibri" w:hAnsi="Calibri" w:cs="Calibri"/>
          <w:b/>
          <w:bCs/>
          <w:color w:val="000000" w:themeColor="text1"/>
        </w:rPr>
        <w:t xml:space="preserve">before any replacement resources are constructed </w:t>
      </w:r>
      <w:r w:rsidRPr="00CD066D">
        <w:rPr>
          <w:rFonts w:ascii="Calibri" w:eastAsia="Calibri" w:hAnsi="Calibri" w:cs="Calibri"/>
          <w:color w:val="000000" w:themeColor="text1"/>
        </w:rPr>
        <w:t>(Table 2-10). The analysis then identified a portfolio of resources that could be built to reduce LOLP to that of the No Action Alternative (6.6%). So, development of either the least-cost portfolio or the Zero-Carbon portfolio would result in an LOLP of 6.6%, not 13.8%, as the draft report states. This analytical process is laid out on page H-2-10 of the CRSO EIS.</w:t>
      </w:r>
      <w:r w:rsidR="00F85EF0">
        <w:rPr>
          <w:rFonts w:ascii="Calibri" w:eastAsia="Calibri" w:hAnsi="Calibri" w:cs="Calibri"/>
          <w:color w:val="000000" w:themeColor="text1"/>
          <w:vertAlign w:val="superscript"/>
        </w:rPr>
        <w:t>2</w:t>
      </w:r>
      <w:r w:rsidRPr="00CD066D">
        <w:rPr>
          <w:rFonts w:ascii="Calibri" w:eastAsia="Calibri" w:hAnsi="Calibri" w:cs="Calibri"/>
          <w:color w:val="000000" w:themeColor="text1"/>
        </w:rPr>
        <w:t xml:space="preserve"> </w:t>
      </w:r>
    </w:p>
    <w:p w14:paraId="3B398E9C" w14:textId="4AD42A4F" w:rsidR="00823781" w:rsidRDefault="00F85EF0" w:rsidP="00CD066D">
      <w:r>
        <w:rPr>
          <w:rFonts w:ascii="Calibri" w:eastAsia="Calibri" w:hAnsi="Calibri" w:cs="Calibri"/>
          <w:color w:val="000000" w:themeColor="text1"/>
        </w:rPr>
        <w:t>Eighth, the</w:t>
      </w:r>
      <w:r w:rsidR="4BFF220C" w:rsidRPr="00CD066D">
        <w:rPr>
          <w:rFonts w:ascii="Calibri" w:eastAsia="Calibri" w:hAnsi="Calibri" w:cs="Calibri"/>
          <w:color w:val="000000" w:themeColor="text1"/>
        </w:rPr>
        <w:t xml:space="preserve"> </w:t>
      </w:r>
      <w:r w:rsidR="00960A86">
        <w:rPr>
          <w:rFonts w:ascii="Calibri" w:eastAsia="Calibri" w:hAnsi="Calibri" w:cs="Calibri"/>
          <w:color w:val="000000" w:themeColor="text1"/>
        </w:rPr>
        <w:t xml:space="preserve">draft </w:t>
      </w:r>
      <w:r w:rsidR="4BFF220C" w:rsidRPr="00CD066D">
        <w:rPr>
          <w:rFonts w:ascii="Calibri" w:eastAsia="Calibri" w:hAnsi="Calibri" w:cs="Calibri"/>
          <w:color w:val="000000" w:themeColor="text1"/>
        </w:rPr>
        <w:t xml:space="preserve">report’s description of Energy Strategies 2022 is inaccurate. It states: “The higher end of this [cost] </w:t>
      </w:r>
      <w:r w:rsidR="4BFF220C" w:rsidRPr="4BFF220C">
        <w:t>estimate represents a one-to-one replacement portfolio of the average generation output of the LSRD, which has additional solar to compensate for ramping capacity to account for the early morning peak in the winter.” This isn’t true of the Base (LSR Dam Shape) portfolio assembled by Energy Strategies. The Base portfolio does contain more solar resources, but this is to provide generation equivalent to the LSRD in spring, when they generate most of their energy</w:t>
      </w:r>
      <w:r w:rsidR="00587439">
        <w:t xml:space="preserve"> (and the value of that energy is very low)</w:t>
      </w:r>
      <w:r w:rsidR="4BFF220C" w:rsidRPr="4BFF220C">
        <w:t>, not to compensate for ramping capacity.</w:t>
      </w:r>
    </w:p>
    <w:p w14:paraId="53D1F49C" w14:textId="5386B63C" w:rsidR="00823781" w:rsidRDefault="00FB0C28" w:rsidP="00CD066D">
      <w:r>
        <w:t>Ninth, the</w:t>
      </w:r>
      <w:r w:rsidR="4BFF220C">
        <w:t xml:space="preserve"> </w:t>
      </w:r>
      <w:r w:rsidR="00960A86">
        <w:t xml:space="preserve">draft </w:t>
      </w:r>
      <w:r w:rsidR="4BFF220C">
        <w:t xml:space="preserve">report misstates the amount of generation the region would need to replace if the LSRD are breached. Early in the section on Energy Services, the report states the dams produce 940 </w:t>
      </w:r>
      <w:bookmarkStart w:id="0" w:name="_Int_m806ORHx"/>
      <w:proofErr w:type="spellStart"/>
      <w:r w:rsidR="4BFF220C">
        <w:t>aMW</w:t>
      </w:r>
      <w:bookmarkEnd w:id="0"/>
      <w:proofErr w:type="spellEnd"/>
      <w:r w:rsidR="4BFF220C">
        <w:t xml:space="preserve"> per year. Later the report states “If the LSRD were to be breached, the Pacific Northwest Energy System would need to replace 1,137 </w:t>
      </w:r>
      <w:proofErr w:type="spellStart"/>
      <w:r w:rsidR="4BFF220C">
        <w:t>aMW</w:t>
      </w:r>
      <w:proofErr w:type="spellEnd"/>
      <w:r w:rsidR="4BFF220C">
        <w:t xml:space="preserve"> of energy during a regular water year compared to current operations.” The </w:t>
      </w:r>
      <w:r w:rsidR="0031561D">
        <w:t xml:space="preserve">final </w:t>
      </w:r>
      <w:r w:rsidR="4BFF220C">
        <w:t xml:space="preserve">report should </w:t>
      </w:r>
      <w:r w:rsidR="00C12CD5">
        <w:t>address this inconsistency</w:t>
      </w:r>
      <w:r w:rsidR="4BFF220C">
        <w:t xml:space="preserve">. </w:t>
      </w:r>
    </w:p>
    <w:p w14:paraId="2C078E63" w14:textId="099F9D40" w:rsidR="00823781" w:rsidRDefault="00FB0C28" w:rsidP="00CD066D">
      <w:r>
        <w:t>Tenth, t</w:t>
      </w:r>
      <w:r w:rsidR="4BFF220C" w:rsidRPr="4BFF220C">
        <w:t xml:space="preserve">he </w:t>
      </w:r>
      <w:r w:rsidR="0031561D">
        <w:t xml:space="preserve">draft </w:t>
      </w:r>
      <w:r w:rsidR="4BFF220C" w:rsidRPr="4BFF220C">
        <w:t xml:space="preserve">report mischaracterizes the inclusion of </w:t>
      </w:r>
      <w:r>
        <w:t>d</w:t>
      </w:r>
      <w:r w:rsidR="4BFF220C" w:rsidRPr="4BFF220C">
        <w:t xml:space="preserve">emand </w:t>
      </w:r>
      <w:r>
        <w:t>r</w:t>
      </w:r>
      <w:r w:rsidR="4BFF220C" w:rsidRPr="4BFF220C">
        <w:t xml:space="preserve">esponse and </w:t>
      </w:r>
      <w:r>
        <w:t>p</w:t>
      </w:r>
      <w:r w:rsidR="4BFF220C" w:rsidRPr="4BFF220C">
        <w:t xml:space="preserve">ower </w:t>
      </w:r>
      <w:r>
        <w:t>p</w:t>
      </w:r>
      <w:r w:rsidR="4BFF220C" w:rsidRPr="4BFF220C">
        <w:t xml:space="preserve">urchases costs in Energy Strategies </w:t>
      </w:r>
      <w:r w:rsidRPr="4BFF220C">
        <w:t>2022</w:t>
      </w:r>
      <w:r w:rsidR="4BFF220C" w:rsidRPr="4BFF220C">
        <w:t>. These costs were included in the original report, though not in the appended capital costs analysis.</w:t>
      </w:r>
      <w:r w:rsidR="0031561D">
        <w:t xml:space="preserve"> Reporting on the annual net cost of energy replacement would include these costs.</w:t>
      </w:r>
    </w:p>
    <w:p w14:paraId="2DAE3AF9" w14:textId="6D1ABA5E" w:rsidR="00DD74EB" w:rsidRDefault="00DD74EB" w:rsidP="00CD066D"/>
    <w:p w14:paraId="356CA308" w14:textId="77777777" w:rsidR="00C44797" w:rsidRDefault="00C44797" w:rsidP="00CD066D"/>
    <w:p w14:paraId="3208AE58" w14:textId="0BA7B9DF" w:rsidR="00DD74EB" w:rsidRDefault="00DD74EB" w:rsidP="00CD066D">
      <w:r>
        <w:t xml:space="preserve">We appreciate the work done by the consultant team in preparing the </w:t>
      </w:r>
      <w:r w:rsidRPr="3A2E3878">
        <w:t>“Lower Snake River Dams: Benefit Replacement Draft Report</w:t>
      </w:r>
      <w:r w:rsidR="00C44797">
        <w:t>” and we thank Sen</w:t>
      </w:r>
      <w:r w:rsidR="00431405">
        <w:t>ator</w:t>
      </w:r>
      <w:r w:rsidR="00C44797">
        <w:t xml:space="preserve"> Murray and Gov</w:t>
      </w:r>
      <w:r w:rsidR="00431405">
        <w:t>ernor</w:t>
      </w:r>
      <w:r w:rsidR="00C44797">
        <w:t xml:space="preserve"> Inslee for their ongoing commitment to salmon and steelhead recovery.</w:t>
      </w:r>
      <w:r>
        <w:t xml:space="preserve"> We agree with </w:t>
      </w:r>
      <w:r w:rsidR="00C44797">
        <w:t xml:space="preserve">the conclusions laid out in the draft report: </w:t>
      </w:r>
      <w:r w:rsidR="00C44797" w:rsidRPr="3A2E3878">
        <w:t>LSRD energy services can be replaced with an affordable, diverse portfolio of clean energy resources that can be optimized to improve value for the overall Northwest power system and salmon recovery</w:t>
      </w:r>
      <w:r w:rsidR="00C44797">
        <w:t>;</w:t>
      </w:r>
      <w:r w:rsidR="00C44797" w:rsidRPr="3A2E3878">
        <w:t xml:space="preserve"> </w:t>
      </w:r>
      <w:r w:rsidR="00C44797">
        <w:t xml:space="preserve">and the portfolio </w:t>
      </w:r>
      <w:r w:rsidR="00C44797" w:rsidRPr="3A2E3878">
        <w:t>should be in place prior to shutdown of the dams</w:t>
      </w:r>
      <w:r w:rsidR="00C44797">
        <w:t xml:space="preserve">. We look forward to engaging for the remainder of this report’s process. </w:t>
      </w:r>
    </w:p>
    <w:p w14:paraId="428CC16E" w14:textId="2CE579FF" w:rsidR="00F4558A" w:rsidRDefault="00F4558A" w:rsidP="00CD066D"/>
    <w:p w14:paraId="1FCED958" w14:textId="77777777" w:rsidR="00F4558A" w:rsidRDefault="00F4558A" w:rsidP="00F4558A">
      <w:pPr>
        <w:pStyle w:val="NoSpacing"/>
        <w:sectPr w:rsidR="00F4558A" w:rsidSect="00336A5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pPr>
    </w:p>
    <w:p w14:paraId="7A85E7BA" w14:textId="1C5EE019" w:rsidR="00F4558A" w:rsidRDefault="00F4558A" w:rsidP="00F4558A">
      <w:pPr>
        <w:pStyle w:val="NoSpacing"/>
      </w:pPr>
      <w:r>
        <w:t>Nancy Hirsh</w:t>
      </w:r>
    </w:p>
    <w:p w14:paraId="7EC7DBEC" w14:textId="651E8DD6" w:rsidR="00F4558A" w:rsidRDefault="00F4558A" w:rsidP="00F4558A">
      <w:pPr>
        <w:pStyle w:val="NoSpacing"/>
      </w:pPr>
      <w:r>
        <w:t>Executive Director</w:t>
      </w:r>
    </w:p>
    <w:p w14:paraId="60344972" w14:textId="5D194D2C" w:rsidR="00F4558A" w:rsidRDefault="00F4558A" w:rsidP="00F4558A">
      <w:pPr>
        <w:pStyle w:val="NoSpacing"/>
      </w:pPr>
      <w:r>
        <w:t>NW Energy Coalition</w:t>
      </w:r>
    </w:p>
    <w:p w14:paraId="2EB280EE" w14:textId="1108EC2D" w:rsidR="00F4558A" w:rsidRDefault="00F4558A" w:rsidP="00F4558A">
      <w:pPr>
        <w:pStyle w:val="NoSpacing"/>
      </w:pPr>
    </w:p>
    <w:p w14:paraId="1E59394A" w14:textId="131DB8EC" w:rsidR="00F4558A" w:rsidRDefault="00F4558A" w:rsidP="00F4558A">
      <w:pPr>
        <w:pStyle w:val="NoSpacing"/>
      </w:pPr>
      <w:r>
        <w:t>Mitch Cutter</w:t>
      </w:r>
    </w:p>
    <w:p w14:paraId="764C011C" w14:textId="741439EF" w:rsidR="00F4558A" w:rsidRDefault="00F4558A" w:rsidP="00F4558A">
      <w:pPr>
        <w:pStyle w:val="NoSpacing"/>
      </w:pPr>
      <w:r>
        <w:t>Salmon &amp; Steelhead Associate</w:t>
      </w:r>
    </w:p>
    <w:p w14:paraId="798A61E0" w14:textId="3AEDE5BD" w:rsidR="00F4558A" w:rsidRDefault="00F4558A" w:rsidP="00F4558A">
      <w:pPr>
        <w:pStyle w:val="NoSpacing"/>
      </w:pPr>
      <w:r>
        <w:t>Idaho Conservation League</w:t>
      </w:r>
    </w:p>
    <w:p w14:paraId="7E1FCE3C" w14:textId="2537C2D8" w:rsidR="00F4558A" w:rsidRDefault="00F4558A" w:rsidP="00F4558A">
      <w:pPr>
        <w:pStyle w:val="NoSpacing"/>
      </w:pPr>
    </w:p>
    <w:p w14:paraId="673A936F" w14:textId="77A936C1" w:rsidR="00F4558A" w:rsidRDefault="00F4558A" w:rsidP="00F4558A">
      <w:pPr>
        <w:pStyle w:val="NoSpacing"/>
      </w:pPr>
      <w:r>
        <w:t>Todd True</w:t>
      </w:r>
    </w:p>
    <w:p w14:paraId="31A67D34" w14:textId="4F6C91AF" w:rsidR="00F4558A" w:rsidRDefault="00F4558A" w:rsidP="00F4558A">
      <w:pPr>
        <w:pStyle w:val="NoSpacing"/>
      </w:pPr>
      <w:r>
        <w:t>Senior Attorney</w:t>
      </w:r>
    </w:p>
    <w:p w14:paraId="2C3F0B95" w14:textId="2948E09A" w:rsidR="00F4558A" w:rsidRDefault="00F4558A" w:rsidP="00F4558A">
      <w:pPr>
        <w:pStyle w:val="NoSpacing"/>
      </w:pPr>
      <w:r>
        <w:t>Earthjustice</w:t>
      </w:r>
    </w:p>
    <w:p w14:paraId="6BDD3DD2" w14:textId="1E64EA0E" w:rsidR="00F4558A" w:rsidRDefault="00F4558A" w:rsidP="00F4558A">
      <w:pPr>
        <w:pStyle w:val="NoSpacing"/>
      </w:pPr>
    </w:p>
    <w:p w14:paraId="2073ED36" w14:textId="3B77C247" w:rsidR="00F4558A" w:rsidRDefault="00F4558A" w:rsidP="00F4558A">
      <w:pPr>
        <w:pStyle w:val="NoSpacing"/>
      </w:pPr>
      <w:r>
        <w:t xml:space="preserve">Joseph </w:t>
      </w:r>
      <w:proofErr w:type="spellStart"/>
      <w:r>
        <w:t>Bogaard</w:t>
      </w:r>
      <w:proofErr w:type="spellEnd"/>
    </w:p>
    <w:p w14:paraId="202CF1FA" w14:textId="6356DD35" w:rsidR="00F4558A" w:rsidRDefault="00F4558A" w:rsidP="00F4558A">
      <w:pPr>
        <w:pStyle w:val="NoSpacing"/>
      </w:pPr>
      <w:r>
        <w:t>Executive Director</w:t>
      </w:r>
    </w:p>
    <w:p w14:paraId="167118E4" w14:textId="114D9696" w:rsidR="00F4558A" w:rsidRDefault="00F4558A" w:rsidP="00F4558A">
      <w:pPr>
        <w:pStyle w:val="NoSpacing"/>
      </w:pPr>
      <w:r>
        <w:t>Save Our Wild Salmon</w:t>
      </w:r>
    </w:p>
    <w:p w14:paraId="6896AE4A" w14:textId="7C64F5AE" w:rsidR="00F4558A" w:rsidRDefault="00F4558A" w:rsidP="00F4558A">
      <w:pPr>
        <w:pStyle w:val="NoSpacing"/>
      </w:pPr>
    </w:p>
    <w:p w14:paraId="7D738E0F" w14:textId="77777777" w:rsidR="00D979C7" w:rsidRDefault="00D979C7" w:rsidP="00F4558A">
      <w:pPr>
        <w:pStyle w:val="NoSpacing"/>
      </w:pPr>
    </w:p>
    <w:p w14:paraId="728F10F3" w14:textId="77777777" w:rsidR="00D979C7" w:rsidRDefault="00D979C7" w:rsidP="00F4558A">
      <w:pPr>
        <w:pStyle w:val="NoSpacing"/>
      </w:pPr>
    </w:p>
    <w:p w14:paraId="515744D9" w14:textId="77777777" w:rsidR="00D979C7" w:rsidRDefault="00D979C7" w:rsidP="00F4558A">
      <w:pPr>
        <w:pStyle w:val="NoSpacing"/>
      </w:pPr>
    </w:p>
    <w:p w14:paraId="3F538AE1" w14:textId="77777777" w:rsidR="00D979C7" w:rsidRDefault="00D979C7" w:rsidP="00F4558A">
      <w:pPr>
        <w:pStyle w:val="NoSpacing"/>
      </w:pPr>
    </w:p>
    <w:p w14:paraId="3E0D5D75" w14:textId="77777777" w:rsidR="00D979C7" w:rsidRDefault="00D979C7" w:rsidP="00F4558A">
      <w:pPr>
        <w:pStyle w:val="NoSpacing"/>
      </w:pPr>
    </w:p>
    <w:p w14:paraId="7177B066" w14:textId="77777777" w:rsidR="00D979C7" w:rsidRDefault="00D979C7" w:rsidP="00F4558A">
      <w:pPr>
        <w:pStyle w:val="NoSpacing"/>
      </w:pPr>
    </w:p>
    <w:p w14:paraId="69985C1B" w14:textId="77777777" w:rsidR="00D979C7" w:rsidRDefault="00D979C7" w:rsidP="00F4558A">
      <w:pPr>
        <w:pStyle w:val="NoSpacing"/>
      </w:pPr>
    </w:p>
    <w:p w14:paraId="7DA49E83" w14:textId="77777777" w:rsidR="00D979C7" w:rsidRDefault="00D979C7" w:rsidP="00F4558A">
      <w:pPr>
        <w:pStyle w:val="NoSpacing"/>
      </w:pPr>
    </w:p>
    <w:p w14:paraId="5EF726BC" w14:textId="77777777" w:rsidR="00D979C7" w:rsidRDefault="00D979C7" w:rsidP="00F4558A">
      <w:pPr>
        <w:pStyle w:val="NoSpacing"/>
      </w:pPr>
    </w:p>
    <w:p w14:paraId="745F0D33" w14:textId="77777777" w:rsidR="00D979C7" w:rsidRDefault="00D979C7" w:rsidP="00F4558A">
      <w:pPr>
        <w:pStyle w:val="NoSpacing"/>
      </w:pPr>
    </w:p>
    <w:p w14:paraId="3D01A5B9" w14:textId="77777777" w:rsidR="00D979C7" w:rsidRDefault="00D979C7" w:rsidP="00F4558A">
      <w:pPr>
        <w:pStyle w:val="NoSpacing"/>
      </w:pPr>
    </w:p>
    <w:p w14:paraId="35B11DEE" w14:textId="77777777" w:rsidR="00D979C7" w:rsidRDefault="00D979C7" w:rsidP="00F4558A">
      <w:pPr>
        <w:pStyle w:val="NoSpacing"/>
      </w:pPr>
    </w:p>
    <w:p w14:paraId="3C0B742F" w14:textId="77777777" w:rsidR="00D979C7" w:rsidRDefault="00D979C7" w:rsidP="00F4558A">
      <w:pPr>
        <w:pStyle w:val="NoSpacing"/>
      </w:pPr>
    </w:p>
    <w:p w14:paraId="483216E3" w14:textId="66D6085B" w:rsidR="00F4558A" w:rsidRDefault="00F4558A" w:rsidP="00F4558A">
      <w:pPr>
        <w:pStyle w:val="NoSpacing"/>
      </w:pPr>
      <w:r>
        <w:t>Bill Arthur</w:t>
      </w:r>
    </w:p>
    <w:p w14:paraId="19321850" w14:textId="684A3801" w:rsidR="00D979C7" w:rsidRDefault="00D979C7" w:rsidP="00F4558A">
      <w:pPr>
        <w:pStyle w:val="NoSpacing"/>
      </w:pPr>
      <w:r>
        <w:t>Director</w:t>
      </w:r>
    </w:p>
    <w:p w14:paraId="330E3F3A" w14:textId="49107222" w:rsidR="00F4558A" w:rsidRDefault="00F4558A" w:rsidP="00F4558A">
      <w:pPr>
        <w:pStyle w:val="NoSpacing"/>
      </w:pPr>
      <w:r>
        <w:t>Sierra Club</w:t>
      </w:r>
      <w:r w:rsidR="00973A5F">
        <w:t xml:space="preserve"> Salmon Campaign</w:t>
      </w:r>
    </w:p>
    <w:p w14:paraId="572ED741" w14:textId="3B04CAE1" w:rsidR="00F4558A" w:rsidRDefault="00F4558A" w:rsidP="00F4558A">
      <w:pPr>
        <w:pStyle w:val="NoSpacing"/>
      </w:pPr>
    </w:p>
    <w:p w14:paraId="41E7F3A7" w14:textId="22E82AB3" w:rsidR="00F4558A" w:rsidRDefault="00F4558A" w:rsidP="00F4558A">
      <w:pPr>
        <w:pStyle w:val="NoSpacing"/>
      </w:pPr>
      <w:r>
        <w:t>G</w:t>
      </w:r>
      <w:r w:rsidR="00D979C7">
        <w:t>i</w:t>
      </w:r>
      <w:r>
        <w:t>ul</w:t>
      </w:r>
      <w:r w:rsidR="00D979C7">
        <w:t>i</w:t>
      </w:r>
      <w:r>
        <w:t xml:space="preserve">a </w:t>
      </w:r>
      <w:r w:rsidR="00D979C7">
        <w:t>Good Stefani</w:t>
      </w:r>
    </w:p>
    <w:p w14:paraId="3FBAEA85" w14:textId="58699BD2" w:rsidR="00D979C7" w:rsidRDefault="00D979C7" w:rsidP="00F4558A">
      <w:pPr>
        <w:pStyle w:val="NoSpacing"/>
      </w:pPr>
      <w:r>
        <w:t>Senior Attorney</w:t>
      </w:r>
    </w:p>
    <w:p w14:paraId="3EF310C8" w14:textId="35FCFDE4" w:rsidR="00D979C7" w:rsidRDefault="00D979C7" w:rsidP="00F4558A">
      <w:pPr>
        <w:pStyle w:val="NoSpacing"/>
      </w:pPr>
      <w:r>
        <w:t>Natural Resources Defense Council</w:t>
      </w:r>
    </w:p>
    <w:p w14:paraId="45A4F635" w14:textId="64863C0C" w:rsidR="00D979C7" w:rsidRDefault="00D979C7" w:rsidP="00F4558A">
      <w:pPr>
        <w:pStyle w:val="NoSpacing"/>
      </w:pPr>
    </w:p>
    <w:p w14:paraId="0CBA8EAD" w14:textId="4DBB9FE5" w:rsidR="00D979C7" w:rsidRDefault="00D979C7" w:rsidP="00F4558A">
      <w:pPr>
        <w:pStyle w:val="NoSpacing"/>
      </w:pPr>
      <w:r>
        <w:t>Angus Duncan</w:t>
      </w:r>
    </w:p>
    <w:p w14:paraId="31F1FA8B" w14:textId="56A26EB1" w:rsidR="00D979C7" w:rsidRDefault="00D979C7" w:rsidP="00F4558A">
      <w:pPr>
        <w:pStyle w:val="NoSpacing"/>
      </w:pPr>
      <w:r>
        <w:t>Consultant</w:t>
      </w:r>
    </w:p>
    <w:p w14:paraId="307D6AD2" w14:textId="02537E92" w:rsidR="00D979C7" w:rsidRDefault="00D979C7" w:rsidP="00F4558A">
      <w:pPr>
        <w:pStyle w:val="NoSpacing"/>
      </w:pPr>
      <w:r>
        <w:t>Natural Resources Defense Council</w:t>
      </w:r>
    </w:p>
    <w:p w14:paraId="582B5259" w14:textId="1102F9BA" w:rsidR="00D979C7" w:rsidRDefault="00D979C7" w:rsidP="00F4558A">
      <w:pPr>
        <w:pStyle w:val="NoSpacing"/>
      </w:pPr>
    </w:p>
    <w:p w14:paraId="3A331370" w14:textId="5B62A255" w:rsidR="00D979C7" w:rsidRDefault="00D979C7" w:rsidP="00F4558A">
      <w:pPr>
        <w:pStyle w:val="NoSpacing"/>
      </w:pPr>
      <w:r>
        <w:t>Stephen Pfeiffer</w:t>
      </w:r>
    </w:p>
    <w:p w14:paraId="71FA8A7E" w14:textId="2DEEBDEF" w:rsidR="00D979C7" w:rsidRDefault="00D979C7" w:rsidP="00F4558A">
      <w:pPr>
        <w:pStyle w:val="NoSpacing"/>
      </w:pPr>
      <w:r>
        <w:t>Conservation Associate</w:t>
      </w:r>
    </w:p>
    <w:p w14:paraId="3AF93FF5" w14:textId="7F715C46" w:rsidR="00D979C7" w:rsidRDefault="00D979C7" w:rsidP="00F4558A">
      <w:pPr>
        <w:pStyle w:val="NoSpacing"/>
      </w:pPr>
      <w:r>
        <w:t>Idaho Rivers United</w:t>
      </w:r>
    </w:p>
    <w:sectPr w:rsidR="00D979C7" w:rsidSect="00F4558A">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CB960" w14:textId="77777777" w:rsidR="002A3740" w:rsidRDefault="002A3740">
      <w:pPr>
        <w:spacing w:after="0" w:line="240" w:lineRule="auto"/>
      </w:pPr>
      <w:r>
        <w:separator/>
      </w:r>
    </w:p>
  </w:endnote>
  <w:endnote w:type="continuationSeparator" w:id="0">
    <w:p w14:paraId="11CE94D7" w14:textId="77777777" w:rsidR="002A3740" w:rsidRDefault="002A3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06853512"/>
      <w:docPartObj>
        <w:docPartGallery w:val="Page Numbers (Bottom of Page)"/>
        <w:docPartUnique/>
      </w:docPartObj>
    </w:sdtPr>
    <w:sdtContent>
      <w:p w14:paraId="42F26DEF" w14:textId="4C018C04" w:rsidR="009164CA" w:rsidRDefault="009164CA" w:rsidP="00B407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06161D1" w14:textId="77777777" w:rsidR="009164CA" w:rsidRDefault="009164CA" w:rsidP="009164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0607959"/>
      <w:docPartObj>
        <w:docPartGallery w:val="Page Numbers (Bottom of Page)"/>
        <w:docPartUnique/>
      </w:docPartObj>
    </w:sdtPr>
    <w:sdtContent>
      <w:p w14:paraId="597EEB00" w14:textId="4ABD51E2" w:rsidR="009164CA" w:rsidRDefault="009164CA" w:rsidP="00B407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tbl>
    <w:tblPr>
      <w:tblW w:w="0" w:type="auto"/>
      <w:tblLayout w:type="fixed"/>
      <w:tblLook w:val="06A0" w:firstRow="1" w:lastRow="0" w:firstColumn="1" w:lastColumn="0" w:noHBand="1" w:noVBand="1"/>
    </w:tblPr>
    <w:tblGrid>
      <w:gridCol w:w="3120"/>
      <w:gridCol w:w="3120"/>
      <w:gridCol w:w="3120"/>
    </w:tblGrid>
    <w:tr w:rsidR="4BFF220C" w14:paraId="27F5A89C" w14:textId="77777777" w:rsidTr="4BFF220C">
      <w:tc>
        <w:tcPr>
          <w:tcW w:w="3120" w:type="dxa"/>
        </w:tcPr>
        <w:p w14:paraId="4B05594E" w14:textId="030149E0" w:rsidR="4BFF220C" w:rsidRDefault="4BFF220C" w:rsidP="009164CA">
          <w:pPr>
            <w:pStyle w:val="Header"/>
            <w:ind w:left="-115" w:right="360"/>
          </w:pPr>
        </w:p>
      </w:tc>
      <w:tc>
        <w:tcPr>
          <w:tcW w:w="3120" w:type="dxa"/>
        </w:tcPr>
        <w:p w14:paraId="741BBFC0" w14:textId="1EC20DFC" w:rsidR="4BFF220C" w:rsidRDefault="4BFF220C" w:rsidP="4BFF220C">
          <w:pPr>
            <w:pStyle w:val="Header"/>
            <w:jc w:val="center"/>
          </w:pPr>
        </w:p>
      </w:tc>
      <w:tc>
        <w:tcPr>
          <w:tcW w:w="3120" w:type="dxa"/>
        </w:tcPr>
        <w:p w14:paraId="0E769D98" w14:textId="0C92A3B3" w:rsidR="4BFF220C" w:rsidRDefault="4BFF220C" w:rsidP="4BFF220C">
          <w:pPr>
            <w:pStyle w:val="Header"/>
            <w:ind w:right="-115"/>
            <w:jc w:val="right"/>
          </w:pPr>
        </w:p>
      </w:tc>
    </w:tr>
  </w:tbl>
  <w:p w14:paraId="4C4153C7" w14:textId="7CB47526" w:rsidR="4BFF220C" w:rsidRDefault="4BFF220C" w:rsidP="4BFF22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8FB23" w14:textId="77777777" w:rsidR="00973A5F" w:rsidRDefault="00973A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DE356" w14:textId="77777777" w:rsidR="002A3740" w:rsidRDefault="002A3740">
      <w:pPr>
        <w:spacing w:after="0" w:line="240" w:lineRule="auto"/>
      </w:pPr>
      <w:r>
        <w:separator/>
      </w:r>
    </w:p>
  </w:footnote>
  <w:footnote w:type="continuationSeparator" w:id="0">
    <w:p w14:paraId="4DBDC512" w14:textId="77777777" w:rsidR="002A3740" w:rsidRDefault="002A3740">
      <w:pPr>
        <w:spacing w:after="0" w:line="240" w:lineRule="auto"/>
      </w:pPr>
      <w:r>
        <w:continuationSeparator/>
      </w:r>
    </w:p>
  </w:footnote>
  <w:footnote w:id="1">
    <w:p w14:paraId="1859C35E" w14:textId="530BCD26" w:rsidR="00D07157" w:rsidRDefault="00D07157">
      <w:pPr>
        <w:pStyle w:val="FootnoteText"/>
      </w:pPr>
      <w:r>
        <w:rPr>
          <w:rStyle w:val="FootnoteReference"/>
        </w:rPr>
        <w:footnoteRef/>
      </w:r>
      <w:r>
        <w:t xml:space="preserve"> Page 31 of Bonneville Power Administration’s </w:t>
      </w:r>
      <w:hyperlink r:id="rId1" w:history="1">
        <w:r w:rsidRPr="00D07157">
          <w:rPr>
            <w:rStyle w:val="Hyperlink"/>
          </w:rPr>
          <w:t>Integrated Program Review</w:t>
        </w:r>
      </w:hyperlink>
      <w:r>
        <w:t>, June 2020</w:t>
      </w:r>
    </w:p>
  </w:footnote>
  <w:footnote w:id="2">
    <w:p w14:paraId="5BDB00BE" w14:textId="43E7642F" w:rsidR="00964E5E" w:rsidRDefault="00964E5E">
      <w:pPr>
        <w:pStyle w:val="FootnoteText"/>
      </w:pPr>
      <w:r>
        <w:rPr>
          <w:rStyle w:val="FootnoteReference"/>
        </w:rPr>
        <w:footnoteRef/>
      </w:r>
      <w:r>
        <w:t xml:space="preserve"> Record of Decision, </w:t>
      </w:r>
      <w:hyperlink r:id="rId2" w:anchor="h-24" w:history="1">
        <w:r w:rsidRPr="00964E5E">
          <w:rPr>
            <w:rStyle w:val="Hyperlink"/>
          </w:rPr>
          <w:t>Columbia River System Operations Environmental Impact Statement</w:t>
        </w:r>
      </w:hyperlink>
      <w:r>
        <w:t xml:space="preserve">, October 2020 </w:t>
      </w:r>
    </w:p>
  </w:footnote>
  <w:footnote w:id="3">
    <w:p w14:paraId="57D5A9BF" w14:textId="7410FD08" w:rsidR="00992C98" w:rsidRDefault="00992C98">
      <w:pPr>
        <w:pStyle w:val="FootnoteText"/>
      </w:pPr>
      <w:r>
        <w:rPr>
          <w:rStyle w:val="FootnoteReference"/>
        </w:rPr>
        <w:footnoteRef/>
      </w:r>
      <w:r>
        <w:t xml:space="preserve"> </w:t>
      </w:r>
      <w:hyperlink r:id="rId3" w:history="1">
        <w:r w:rsidRPr="00992C98">
          <w:rPr>
            <w:rStyle w:val="Hyperlink"/>
          </w:rPr>
          <w:t>Lower Snake River Dam Replacement Study</w:t>
        </w:r>
      </w:hyperlink>
      <w:r>
        <w:t>, Energy Strategies, May 2022</w:t>
      </w:r>
    </w:p>
  </w:footnote>
  <w:footnote w:id="4">
    <w:p w14:paraId="0E36FA4E" w14:textId="3C052173" w:rsidR="007577D0" w:rsidRDefault="007577D0">
      <w:pPr>
        <w:pStyle w:val="FootnoteText"/>
      </w:pPr>
      <w:r>
        <w:rPr>
          <w:rStyle w:val="FootnoteReference"/>
        </w:rPr>
        <w:footnoteRef/>
      </w:r>
      <w:r>
        <w:t xml:space="preserve"> </w:t>
      </w:r>
      <w:hyperlink r:id="rId4" w:history="1">
        <w:r w:rsidR="000E40D6">
          <w:rPr>
            <w:rStyle w:val="Hyperlink"/>
          </w:rPr>
          <w:t>Energy storage soars despite international and national supply challenges: report</w:t>
        </w:r>
      </w:hyperlink>
      <w:r>
        <w:t xml:space="preserve">, Utility Dive, </w:t>
      </w:r>
      <w:r w:rsidR="000E40D6">
        <w:t>June 2022</w:t>
      </w:r>
    </w:p>
  </w:footnote>
  <w:footnote w:id="5">
    <w:p w14:paraId="305F9835" w14:textId="6C573731" w:rsidR="001156DF" w:rsidRDefault="001156DF">
      <w:pPr>
        <w:pStyle w:val="FootnoteText"/>
      </w:pPr>
      <w:r>
        <w:rPr>
          <w:rStyle w:val="FootnoteReference"/>
        </w:rPr>
        <w:footnoteRef/>
      </w:r>
      <w:r>
        <w:t xml:space="preserve"> </w:t>
      </w:r>
      <w:hyperlink r:id="rId5" w:history="1">
        <w:r>
          <w:rPr>
            <w:rStyle w:val="Hyperlink"/>
          </w:rPr>
          <w:t>Lockheed Martin gets contract to build long-lasting battery storage system at Fort Carson</w:t>
        </w:r>
      </w:hyperlink>
      <w:r>
        <w:t>, Denver Gazette, June 2022</w:t>
      </w:r>
    </w:p>
  </w:footnote>
  <w:footnote w:id="6">
    <w:p w14:paraId="5C5712B3" w14:textId="522D99D7" w:rsidR="000E40D6" w:rsidRDefault="000E40D6">
      <w:pPr>
        <w:pStyle w:val="FootnoteText"/>
      </w:pPr>
      <w:r>
        <w:rPr>
          <w:rStyle w:val="FootnoteReference"/>
        </w:rPr>
        <w:footnoteRef/>
      </w:r>
      <w:r>
        <w:t xml:space="preserve"> </w:t>
      </w:r>
      <w:hyperlink r:id="rId6" w:history="1">
        <w:r w:rsidRPr="000E40D6">
          <w:rPr>
            <w:rStyle w:val="Hyperlink"/>
          </w:rPr>
          <w:t>Can flow batteries supercharge the energy transition?</w:t>
        </w:r>
      </w:hyperlink>
      <w:r>
        <w:t>, Energy Monitor, June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5F1C" w14:textId="40EFBDC7" w:rsidR="009164CA" w:rsidRDefault="009164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9445E" w14:textId="0969B6EA" w:rsidR="00C014D8" w:rsidRDefault="004D0573" w:rsidP="004D0573">
    <w:pPr>
      <w:pStyle w:val="Header"/>
      <w:jc w:val="center"/>
    </w:pPr>
    <w:r>
      <w:rPr>
        <w:noProof/>
      </w:rPr>
      <w:drawing>
        <wp:inline distT="0" distB="0" distL="0" distR="0" wp14:anchorId="3E799E0C" wp14:editId="4E59CC72">
          <wp:extent cx="3657600" cy="45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4112112" cy="514014"/>
                  </a:xfrm>
                  <a:prstGeom prst="rect">
                    <a:avLst/>
                  </a:prstGeom>
                </pic:spPr>
              </pic:pic>
            </a:graphicData>
          </a:graphic>
        </wp:inline>
      </w:drawing>
    </w:r>
    <w:r>
      <w:t xml:space="preserve">     </w:t>
    </w:r>
    <w:r>
      <w:rPr>
        <w:noProof/>
      </w:rPr>
      <w:drawing>
        <wp:inline distT="0" distB="0" distL="0" distR="0" wp14:anchorId="377E9B7D" wp14:editId="27419898">
          <wp:extent cx="2121902" cy="55033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
                    <a:extLst>
                      <a:ext uri="{28A0092B-C50C-407E-A947-70E740481C1C}">
                        <a14:useLocalDpi xmlns:a14="http://schemas.microsoft.com/office/drawing/2010/main" val="0"/>
                      </a:ext>
                    </a:extLst>
                  </a:blip>
                  <a:stretch>
                    <a:fillRect/>
                  </a:stretch>
                </pic:blipFill>
                <pic:spPr>
                  <a:xfrm>
                    <a:off x="0" y="0"/>
                    <a:ext cx="2352830" cy="610226"/>
                  </a:xfrm>
                  <a:prstGeom prst="rect">
                    <a:avLst/>
                  </a:prstGeom>
                </pic:spPr>
              </pic:pic>
            </a:graphicData>
          </a:graphic>
        </wp:inline>
      </w:drawing>
    </w:r>
    <w:r w:rsidR="00FD27AB">
      <w:rPr>
        <w:noProof/>
      </w:rPr>
      <w:drawing>
        <wp:inline distT="0" distB="0" distL="0" distR="0" wp14:anchorId="02871F28" wp14:editId="063FFFCC">
          <wp:extent cx="1303866" cy="476134"/>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
                    <a:extLst>
                      <a:ext uri="{28A0092B-C50C-407E-A947-70E740481C1C}">
                        <a14:useLocalDpi xmlns:a14="http://schemas.microsoft.com/office/drawing/2010/main" val="0"/>
                      </a:ext>
                    </a:extLst>
                  </a:blip>
                  <a:stretch>
                    <a:fillRect/>
                  </a:stretch>
                </pic:blipFill>
                <pic:spPr>
                  <a:xfrm>
                    <a:off x="0" y="0"/>
                    <a:ext cx="1427085" cy="521130"/>
                  </a:xfrm>
                  <a:prstGeom prst="rect">
                    <a:avLst/>
                  </a:prstGeom>
                </pic:spPr>
              </pic:pic>
            </a:graphicData>
          </a:graphic>
        </wp:inline>
      </w:drawing>
    </w:r>
    <w:r>
      <w:t xml:space="preserve">          </w:t>
    </w:r>
    <w:r w:rsidR="00FD27AB">
      <w:rPr>
        <w:noProof/>
      </w:rPr>
      <w:drawing>
        <wp:inline distT="0" distB="0" distL="0" distR="0" wp14:anchorId="0FF79BEE" wp14:editId="7597E13E">
          <wp:extent cx="842950" cy="821267"/>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
                    <a:extLst>
                      <a:ext uri="{28A0092B-C50C-407E-A947-70E740481C1C}">
                        <a14:useLocalDpi xmlns:a14="http://schemas.microsoft.com/office/drawing/2010/main" val="0"/>
                      </a:ext>
                    </a:extLst>
                  </a:blip>
                  <a:stretch>
                    <a:fillRect/>
                  </a:stretch>
                </pic:blipFill>
                <pic:spPr>
                  <a:xfrm>
                    <a:off x="0" y="0"/>
                    <a:ext cx="873812" cy="851335"/>
                  </a:xfrm>
                  <a:prstGeom prst="rect">
                    <a:avLst/>
                  </a:prstGeom>
                </pic:spPr>
              </pic:pic>
            </a:graphicData>
          </a:graphic>
        </wp:inline>
      </w:drawing>
    </w:r>
    <w:r>
      <w:t xml:space="preserve">         </w:t>
    </w:r>
    <w:r>
      <w:rPr>
        <w:noProof/>
      </w:rPr>
      <w:drawing>
        <wp:inline distT="0" distB="0" distL="0" distR="0" wp14:anchorId="566BC4D2" wp14:editId="7F6A99E8">
          <wp:extent cx="1540933" cy="54743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
                    <a:extLst>
                      <a:ext uri="{28A0092B-C50C-407E-A947-70E740481C1C}">
                        <a14:useLocalDpi xmlns:a14="http://schemas.microsoft.com/office/drawing/2010/main" val="0"/>
                      </a:ext>
                    </a:extLst>
                  </a:blip>
                  <a:stretch>
                    <a:fillRect/>
                  </a:stretch>
                </pic:blipFill>
                <pic:spPr>
                  <a:xfrm>
                    <a:off x="0" y="0"/>
                    <a:ext cx="1587068" cy="563827"/>
                  </a:xfrm>
                  <a:prstGeom prst="rect">
                    <a:avLst/>
                  </a:prstGeom>
                </pic:spPr>
              </pic:pic>
            </a:graphicData>
          </a:graphic>
        </wp:inline>
      </w:drawing>
    </w:r>
    <w:r w:rsidR="00C92693">
      <w:t xml:space="preserve">      </w:t>
    </w:r>
    <w:r w:rsidR="00F54E57">
      <w:rPr>
        <w:noProof/>
      </w:rPr>
      <w:drawing>
        <wp:inline distT="0" distB="0" distL="0" distR="0" wp14:anchorId="4742F35E" wp14:editId="03B64933">
          <wp:extent cx="592667" cy="788988"/>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
                    <a:extLst>
                      <a:ext uri="{28A0092B-C50C-407E-A947-70E740481C1C}">
                        <a14:useLocalDpi xmlns:a14="http://schemas.microsoft.com/office/drawing/2010/main" val="0"/>
                      </a:ext>
                    </a:extLst>
                  </a:blip>
                  <a:stretch>
                    <a:fillRect/>
                  </a:stretch>
                </pic:blipFill>
                <pic:spPr>
                  <a:xfrm>
                    <a:off x="0" y="0"/>
                    <a:ext cx="609408" cy="811274"/>
                  </a:xfrm>
                  <a:prstGeom prst="rect">
                    <a:avLst/>
                  </a:prstGeom>
                </pic:spPr>
              </pic:pic>
            </a:graphicData>
          </a:graphic>
        </wp:inline>
      </w:drawing>
    </w:r>
    <w:r w:rsidR="00C92693">
      <w:t xml:space="preserve"> </w:t>
    </w:r>
    <w:r w:rsidR="00F54E57">
      <w:t xml:space="preserve">         </w:t>
    </w:r>
    <w:r w:rsidR="00C92693">
      <w:t xml:space="preserve"> </w:t>
    </w:r>
    <w:r w:rsidR="00C92693">
      <w:rPr>
        <w:noProof/>
      </w:rPr>
      <w:drawing>
        <wp:inline distT="0" distB="0" distL="0" distR="0" wp14:anchorId="1D62D64C" wp14:editId="38387A43">
          <wp:extent cx="492871" cy="897467"/>
          <wp:effectExtent l="0" t="0" r="254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extLst>
                      <a:ext uri="{28A0092B-C50C-407E-A947-70E740481C1C}">
                        <a14:useLocalDpi xmlns:a14="http://schemas.microsoft.com/office/drawing/2010/main" val="0"/>
                      </a:ext>
                    </a:extLst>
                  </a:blip>
                  <a:stretch>
                    <a:fillRect/>
                  </a:stretch>
                </pic:blipFill>
                <pic:spPr>
                  <a:xfrm>
                    <a:off x="0" y="0"/>
                    <a:ext cx="511724" cy="931797"/>
                  </a:xfrm>
                  <a:prstGeom prst="rect">
                    <a:avLst/>
                  </a:prstGeom>
                </pic:spPr>
              </pic:pic>
            </a:graphicData>
          </a:graphic>
        </wp:inline>
      </w:drawing>
    </w:r>
  </w:p>
  <w:p w14:paraId="5B70A29A" w14:textId="485042ED" w:rsidR="4BFF220C" w:rsidRDefault="4BFF220C" w:rsidP="004D0573">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0D77D" w14:textId="5EE63798" w:rsidR="009164CA" w:rsidRDefault="009164CA">
    <w:pPr>
      <w:pStyle w:val="Header"/>
    </w:pPr>
  </w:p>
</w:hdr>
</file>

<file path=word/intelligence2.xml><?xml version="1.0" encoding="utf-8"?>
<int2:intelligence xmlns:int2="http://schemas.microsoft.com/office/intelligence/2020/intelligence" xmlns:oel="http://schemas.microsoft.com/office/2019/extlst">
  <int2:observations>
    <int2:textHash int2:hashCode="m2lDmhcofGzZ8e" int2:id="h2UgYV5y">
      <int2:state int2:value="Rejected" int2:type="LegacyProofing"/>
    </int2:textHash>
    <int2:bookmark int2:bookmarkName="_Int_m806ORHx" int2:invalidationBookmarkName="" int2:hashCode="KsbAt+rD5Ltor6" int2:id="LbZ4vQK2">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7098F"/>
    <w:multiLevelType w:val="hybridMultilevel"/>
    <w:tmpl w:val="8338935E"/>
    <w:lvl w:ilvl="0" w:tplc="E9D41D86">
      <w:start w:val="1"/>
      <w:numFmt w:val="bullet"/>
      <w:lvlText w:val=""/>
      <w:lvlJc w:val="left"/>
      <w:pPr>
        <w:ind w:left="720" w:hanging="360"/>
      </w:pPr>
      <w:rPr>
        <w:rFonts w:ascii="Symbol" w:hAnsi="Symbol" w:hint="default"/>
      </w:rPr>
    </w:lvl>
    <w:lvl w:ilvl="1" w:tplc="1F9C1B6E">
      <w:start w:val="1"/>
      <w:numFmt w:val="bullet"/>
      <w:lvlText w:val="o"/>
      <w:lvlJc w:val="left"/>
      <w:pPr>
        <w:ind w:left="1440" w:hanging="360"/>
      </w:pPr>
      <w:rPr>
        <w:rFonts w:ascii="Courier New" w:hAnsi="Courier New" w:hint="default"/>
      </w:rPr>
    </w:lvl>
    <w:lvl w:ilvl="2" w:tplc="8AAC7F04">
      <w:start w:val="1"/>
      <w:numFmt w:val="bullet"/>
      <w:lvlText w:val=""/>
      <w:lvlJc w:val="left"/>
      <w:pPr>
        <w:ind w:left="2160" w:hanging="360"/>
      </w:pPr>
      <w:rPr>
        <w:rFonts w:ascii="Wingdings" w:hAnsi="Wingdings" w:hint="default"/>
      </w:rPr>
    </w:lvl>
    <w:lvl w:ilvl="3" w:tplc="29BEAA14">
      <w:start w:val="1"/>
      <w:numFmt w:val="bullet"/>
      <w:lvlText w:val=""/>
      <w:lvlJc w:val="left"/>
      <w:pPr>
        <w:ind w:left="2880" w:hanging="360"/>
      </w:pPr>
      <w:rPr>
        <w:rFonts w:ascii="Symbol" w:hAnsi="Symbol" w:hint="default"/>
      </w:rPr>
    </w:lvl>
    <w:lvl w:ilvl="4" w:tplc="2C2630E6">
      <w:start w:val="1"/>
      <w:numFmt w:val="bullet"/>
      <w:lvlText w:val="o"/>
      <w:lvlJc w:val="left"/>
      <w:pPr>
        <w:ind w:left="3600" w:hanging="360"/>
      </w:pPr>
      <w:rPr>
        <w:rFonts w:ascii="Courier New" w:hAnsi="Courier New" w:hint="default"/>
      </w:rPr>
    </w:lvl>
    <w:lvl w:ilvl="5" w:tplc="5B869FC2">
      <w:start w:val="1"/>
      <w:numFmt w:val="bullet"/>
      <w:lvlText w:val=""/>
      <w:lvlJc w:val="left"/>
      <w:pPr>
        <w:ind w:left="4320" w:hanging="360"/>
      </w:pPr>
      <w:rPr>
        <w:rFonts w:ascii="Wingdings" w:hAnsi="Wingdings" w:hint="default"/>
      </w:rPr>
    </w:lvl>
    <w:lvl w:ilvl="6" w:tplc="759413EA">
      <w:start w:val="1"/>
      <w:numFmt w:val="bullet"/>
      <w:lvlText w:val=""/>
      <w:lvlJc w:val="left"/>
      <w:pPr>
        <w:ind w:left="5040" w:hanging="360"/>
      </w:pPr>
      <w:rPr>
        <w:rFonts w:ascii="Symbol" w:hAnsi="Symbol" w:hint="default"/>
      </w:rPr>
    </w:lvl>
    <w:lvl w:ilvl="7" w:tplc="5478E9F0">
      <w:start w:val="1"/>
      <w:numFmt w:val="bullet"/>
      <w:lvlText w:val="o"/>
      <w:lvlJc w:val="left"/>
      <w:pPr>
        <w:ind w:left="5760" w:hanging="360"/>
      </w:pPr>
      <w:rPr>
        <w:rFonts w:ascii="Courier New" w:hAnsi="Courier New" w:hint="default"/>
      </w:rPr>
    </w:lvl>
    <w:lvl w:ilvl="8" w:tplc="5C6CF000">
      <w:start w:val="1"/>
      <w:numFmt w:val="bullet"/>
      <w:lvlText w:val=""/>
      <w:lvlJc w:val="left"/>
      <w:pPr>
        <w:ind w:left="6480" w:hanging="360"/>
      </w:pPr>
      <w:rPr>
        <w:rFonts w:ascii="Wingdings" w:hAnsi="Wingdings" w:hint="default"/>
      </w:rPr>
    </w:lvl>
  </w:abstractNum>
  <w:abstractNum w:abstractNumId="1" w15:restartNumberingAfterBreak="0">
    <w:nsid w:val="53330C82"/>
    <w:multiLevelType w:val="hybridMultilevel"/>
    <w:tmpl w:val="58481D9E"/>
    <w:lvl w:ilvl="0" w:tplc="A08A75F8">
      <w:start w:val="1"/>
      <w:numFmt w:val="bullet"/>
      <w:lvlText w:val="-"/>
      <w:lvlJc w:val="left"/>
      <w:pPr>
        <w:ind w:left="720" w:hanging="360"/>
      </w:pPr>
      <w:rPr>
        <w:rFonts w:ascii="Calibri" w:hAnsi="Calibri" w:hint="default"/>
      </w:rPr>
    </w:lvl>
    <w:lvl w:ilvl="1" w:tplc="0D4672C8">
      <w:start w:val="1"/>
      <w:numFmt w:val="bullet"/>
      <w:lvlText w:val="o"/>
      <w:lvlJc w:val="left"/>
      <w:pPr>
        <w:ind w:left="1440" w:hanging="360"/>
      </w:pPr>
      <w:rPr>
        <w:rFonts w:ascii="Courier New" w:hAnsi="Courier New" w:hint="default"/>
      </w:rPr>
    </w:lvl>
    <w:lvl w:ilvl="2" w:tplc="C18A5964">
      <w:start w:val="1"/>
      <w:numFmt w:val="bullet"/>
      <w:lvlText w:val=""/>
      <w:lvlJc w:val="left"/>
      <w:pPr>
        <w:ind w:left="2160" w:hanging="360"/>
      </w:pPr>
      <w:rPr>
        <w:rFonts w:ascii="Wingdings" w:hAnsi="Wingdings" w:hint="default"/>
      </w:rPr>
    </w:lvl>
    <w:lvl w:ilvl="3" w:tplc="C58048DE">
      <w:start w:val="1"/>
      <w:numFmt w:val="bullet"/>
      <w:lvlText w:val=""/>
      <w:lvlJc w:val="left"/>
      <w:pPr>
        <w:ind w:left="2880" w:hanging="360"/>
      </w:pPr>
      <w:rPr>
        <w:rFonts w:ascii="Symbol" w:hAnsi="Symbol" w:hint="default"/>
      </w:rPr>
    </w:lvl>
    <w:lvl w:ilvl="4" w:tplc="BC36F08E">
      <w:start w:val="1"/>
      <w:numFmt w:val="bullet"/>
      <w:lvlText w:val="o"/>
      <w:lvlJc w:val="left"/>
      <w:pPr>
        <w:ind w:left="3600" w:hanging="360"/>
      </w:pPr>
      <w:rPr>
        <w:rFonts w:ascii="Courier New" w:hAnsi="Courier New" w:hint="default"/>
      </w:rPr>
    </w:lvl>
    <w:lvl w:ilvl="5" w:tplc="FB98BFCA">
      <w:start w:val="1"/>
      <w:numFmt w:val="bullet"/>
      <w:lvlText w:val=""/>
      <w:lvlJc w:val="left"/>
      <w:pPr>
        <w:ind w:left="4320" w:hanging="360"/>
      </w:pPr>
      <w:rPr>
        <w:rFonts w:ascii="Wingdings" w:hAnsi="Wingdings" w:hint="default"/>
      </w:rPr>
    </w:lvl>
    <w:lvl w:ilvl="6" w:tplc="1B888188">
      <w:start w:val="1"/>
      <w:numFmt w:val="bullet"/>
      <w:lvlText w:val=""/>
      <w:lvlJc w:val="left"/>
      <w:pPr>
        <w:ind w:left="5040" w:hanging="360"/>
      </w:pPr>
      <w:rPr>
        <w:rFonts w:ascii="Symbol" w:hAnsi="Symbol" w:hint="default"/>
      </w:rPr>
    </w:lvl>
    <w:lvl w:ilvl="7" w:tplc="A0CEA9D0">
      <w:start w:val="1"/>
      <w:numFmt w:val="bullet"/>
      <w:lvlText w:val="o"/>
      <w:lvlJc w:val="left"/>
      <w:pPr>
        <w:ind w:left="5760" w:hanging="360"/>
      </w:pPr>
      <w:rPr>
        <w:rFonts w:ascii="Courier New" w:hAnsi="Courier New" w:hint="default"/>
      </w:rPr>
    </w:lvl>
    <w:lvl w:ilvl="8" w:tplc="07209810">
      <w:start w:val="1"/>
      <w:numFmt w:val="bullet"/>
      <w:lvlText w:val=""/>
      <w:lvlJc w:val="left"/>
      <w:pPr>
        <w:ind w:left="6480" w:hanging="360"/>
      </w:pPr>
      <w:rPr>
        <w:rFonts w:ascii="Wingdings" w:hAnsi="Wingdings" w:hint="default"/>
      </w:rPr>
    </w:lvl>
  </w:abstractNum>
  <w:num w:numId="1" w16cid:durableId="1042247547">
    <w:abstractNumId w:val="0"/>
  </w:num>
  <w:num w:numId="2" w16cid:durableId="19610606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3D13F1"/>
    <w:rsid w:val="000E40D6"/>
    <w:rsid w:val="001156DF"/>
    <w:rsid w:val="001328E0"/>
    <w:rsid w:val="00162DA7"/>
    <w:rsid w:val="00211BE4"/>
    <w:rsid w:val="00235386"/>
    <w:rsid w:val="002A11F2"/>
    <w:rsid w:val="002A3740"/>
    <w:rsid w:val="002B5333"/>
    <w:rsid w:val="002E0B04"/>
    <w:rsid w:val="00314322"/>
    <w:rsid w:val="0031561D"/>
    <w:rsid w:val="00336A58"/>
    <w:rsid w:val="00371FC4"/>
    <w:rsid w:val="0039172D"/>
    <w:rsid w:val="00413141"/>
    <w:rsid w:val="00431405"/>
    <w:rsid w:val="00442CC0"/>
    <w:rsid w:val="00486C00"/>
    <w:rsid w:val="004C36F2"/>
    <w:rsid w:val="004D0573"/>
    <w:rsid w:val="004E4CFF"/>
    <w:rsid w:val="004F26FD"/>
    <w:rsid w:val="00501FA6"/>
    <w:rsid w:val="00550775"/>
    <w:rsid w:val="005522AC"/>
    <w:rsid w:val="00587439"/>
    <w:rsid w:val="005A4DCD"/>
    <w:rsid w:val="005D062D"/>
    <w:rsid w:val="0060149A"/>
    <w:rsid w:val="00632601"/>
    <w:rsid w:val="00700BC0"/>
    <w:rsid w:val="007577D0"/>
    <w:rsid w:val="00760F97"/>
    <w:rsid w:val="007A098A"/>
    <w:rsid w:val="007C6A58"/>
    <w:rsid w:val="007D6D29"/>
    <w:rsid w:val="00823781"/>
    <w:rsid w:val="00857907"/>
    <w:rsid w:val="008A2FF6"/>
    <w:rsid w:val="008D22B9"/>
    <w:rsid w:val="008D4D8E"/>
    <w:rsid w:val="008D617F"/>
    <w:rsid w:val="00912928"/>
    <w:rsid w:val="009164CA"/>
    <w:rsid w:val="00960A86"/>
    <w:rsid w:val="0096366F"/>
    <w:rsid w:val="00964E5E"/>
    <w:rsid w:val="00973A5F"/>
    <w:rsid w:val="00987B2D"/>
    <w:rsid w:val="00992C98"/>
    <w:rsid w:val="009958F6"/>
    <w:rsid w:val="009A7CAC"/>
    <w:rsid w:val="009B1338"/>
    <w:rsid w:val="009B48BF"/>
    <w:rsid w:val="00A11016"/>
    <w:rsid w:val="00AE25BA"/>
    <w:rsid w:val="00B25839"/>
    <w:rsid w:val="00BA3C57"/>
    <w:rsid w:val="00BC59AB"/>
    <w:rsid w:val="00BC67D8"/>
    <w:rsid w:val="00C014D8"/>
    <w:rsid w:val="00C12CD5"/>
    <w:rsid w:val="00C22508"/>
    <w:rsid w:val="00C44797"/>
    <w:rsid w:val="00C77857"/>
    <w:rsid w:val="00C92693"/>
    <w:rsid w:val="00C96CAD"/>
    <w:rsid w:val="00CA5D36"/>
    <w:rsid w:val="00CC4359"/>
    <w:rsid w:val="00CD066D"/>
    <w:rsid w:val="00D07157"/>
    <w:rsid w:val="00D30361"/>
    <w:rsid w:val="00D979C7"/>
    <w:rsid w:val="00DB03EA"/>
    <w:rsid w:val="00DB5F30"/>
    <w:rsid w:val="00DD32F9"/>
    <w:rsid w:val="00DD74EB"/>
    <w:rsid w:val="00DE3335"/>
    <w:rsid w:val="00DE6AE4"/>
    <w:rsid w:val="00E21853"/>
    <w:rsid w:val="00EB2F03"/>
    <w:rsid w:val="00EC392B"/>
    <w:rsid w:val="00F02700"/>
    <w:rsid w:val="00F4558A"/>
    <w:rsid w:val="00F54E57"/>
    <w:rsid w:val="00F85EF0"/>
    <w:rsid w:val="00FB0C28"/>
    <w:rsid w:val="00FD27AB"/>
    <w:rsid w:val="011D9C3A"/>
    <w:rsid w:val="01F394AA"/>
    <w:rsid w:val="032FED09"/>
    <w:rsid w:val="038F650B"/>
    <w:rsid w:val="03B1814C"/>
    <w:rsid w:val="040C589F"/>
    <w:rsid w:val="0435D3DB"/>
    <w:rsid w:val="0437EAC3"/>
    <w:rsid w:val="05D3BB24"/>
    <w:rsid w:val="05DB71D0"/>
    <w:rsid w:val="05E5E41B"/>
    <w:rsid w:val="06678DCB"/>
    <w:rsid w:val="082E6E08"/>
    <w:rsid w:val="0849ADD1"/>
    <w:rsid w:val="0896CF56"/>
    <w:rsid w:val="08CFABCD"/>
    <w:rsid w:val="09A874C9"/>
    <w:rsid w:val="09FB0FB3"/>
    <w:rsid w:val="0A329FB7"/>
    <w:rsid w:val="0B9A76F0"/>
    <w:rsid w:val="0BA48E8A"/>
    <w:rsid w:val="0BABB1C7"/>
    <w:rsid w:val="0BCE7018"/>
    <w:rsid w:val="0C29D44B"/>
    <w:rsid w:val="0C6C8D83"/>
    <w:rsid w:val="0CF27F52"/>
    <w:rsid w:val="0D405EEB"/>
    <w:rsid w:val="0D5509EC"/>
    <w:rsid w:val="0E3F3639"/>
    <w:rsid w:val="10A5B2E2"/>
    <w:rsid w:val="10CE1245"/>
    <w:rsid w:val="10F2638B"/>
    <w:rsid w:val="124E2325"/>
    <w:rsid w:val="12CF1CAD"/>
    <w:rsid w:val="1312A75C"/>
    <w:rsid w:val="132622CB"/>
    <w:rsid w:val="134A7189"/>
    <w:rsid w:val="136CA24A"/>
    <w:rsid w:val="13AE7D12"/>
    <w:rsid w:val="13C54EBD"/>
    <w:rsid w:val="1415EA38"/>
    <w:rsid w:val="146AED0E"/>
    <w:rsid w:val="14AE77BD"/>
    <w:rsid w:val="152830D9"/>
    <w:rsid w:val="16CBEEC0"/>
    <w:rsid w:val="170277F7"/>
    <w:rsid w:val="178B85ED"/>
    <w:rsid w:val="17C8FF04"/>
    <w:rsid w:val="193E5E31"/>
    <w:rsid w:val="1975B0CF"/>
    <w:rsid w:val="19B81F76"/>
    <w:rsid w:val="19FBA1FC"/>
    <w:rsid w:val="1A57064B"/>
    <w:rsid w:val="1B118130"/>
    <w:rsid w:val="1B235E17"/>
    <w:rsid w:val="1C85509D"/>
    <w:rsid w:val="1E4921F2"/>
    <w:rsid w:val="1F5C9865"/>
    <w:rsid w:val="1FD410E9"/>
    <w:rsid w:val="20883A4B"/>
    <w:rsid w:val="20EB0115"/>
    <w:rsid w:val="21A73BF8"/>
    <w:rsid w:val="21EF5D26"/>
    <w:rsid w:val="22072C2B"/>
    <w:rsid w:val="2248FDC4"/>
    <w:rsid w:val="228D5B63"/>
    <w:rsid w:val="22DAB8A6"/>
    <w:rsid w:val="22F1C0A2"/>
    <w:rsid w:val="23A2FC8C"/>
    <w:rsid w:val="23A86E83"/>
    <w:rsid w:val="2761F1BB"/>
    <w:rsid w:val="2787D1B2"/>
    <w:rsid w:val="27B4F400"/>
    <w:rsid w:val="283E495A"/>
    <w:rsid w:val="2907E28F"/>
    <w:rsid w:val="297880D2"/>
    <w:rsid w:val="2A3BCEEB"/>
    <w:rsid w:val="2A72A740"/>
    <w:rsid w:val="2B0E7CF6"/>
    <w:rsid w:val="2B15CC1A"/>
    <w:rsid w:val="2C61BF89"/>
    <w:rsid w:val="2D361445"/>
    <w:rsid w:val="2D736FAD"/>
    <w:rsid w:val="2D93653F"/>
    <w:rsid w:val="2DE59EFF"/>
    <w:rsid w:val="2E16B847"/>
    <w:rsid w:val="2E74F44A"/>
    <w:rsid w:val="2E920D23"/>
    <w:rsid w:val="2FA01351"/>
    <w:rsid w:val="2FD8F9DC"/>
    <w:rsid w:val="302DDD84"/>
    <w:rsid w:val="30CDC386"/>
    <w:rsid w:val="31B0B0EB"/>
    <w:rsid w:val="31CC0343"/>
    <w:rsid w:val="32428FB4"/>
    <w:rsid w:val="32F73564"/>
    <w:rsid w:val="33109A9E"/>
    <w:rsid w:val="33B48CCF"/>
    <w:rsid w:val="33BEF6F4"/>
    <w:rsid w:val="34006129"/>
    <w:rsid w:val="345D1F99"/>
    <w:rsid w:val="34B55F3C"/>
    <w:rsid w:val="3500765F"/>
    <w:rsid w:val="35E1470D"/>
    <w:rsid w:val="35F8EFFA"/>
    <w:rsid w:val="366163BD"/>
    <w:rsid w:val="37230A5C"/>
    <w:rsid w:val="373410CD"/>
    <w:rsid w:val="3794C05B"/>
    <w:rsid w:val="3858CEE6"/>
    <w:rsid w:val="387CAFFA"/>
    <w:rsid w:val="38926817"/>
    <w:rsid w:val="38A25EF5"/>
    <w:rsid w:val="38F2A16D"/>
    <w:rsid w:val="3A2E3878"/>
    <w:rsid w:val="3B47B60F"/>
    <w:rsid w:val="3C0781F0"/>
    <w:rsid w:val="3C0B730E"/>
    <w:rsid w:val="3CC98204"/>
    <w:rsid w:val="3DA6B6E8"/>
    <w:rsid w:val="3E400F29"/>
    <w:rsid w:val="3F953563"/>
    <w:rsid w:val="40C4D2CF"/>
    <w:rsid w:val="40E05278"/>
    <w:rsid w:val="40E6D1B7"/>
    <w:rsid w:val="40E91751"/>
    <w:rsid w:val="40EDD442"/>
    <w:rsid w:val="429F9F3E"/>
    <w:rsid w:val="432D0D50"/>
    <w:rsid w:val="43A9CE82"/>
    <w:rsid w:val="43D8F098"/>
    <w:rsid w:val="440683A4"/>
    <w:rsid w:val="4449D1DD"/>
    <w:rsid w:val="44803323"/>
    <w:rsid w:val="44D0168D"/>
    <w:rsid w:val="44D36F91"/>
    <w:rsid w:val="461C0384"/>
    <w:rsid w:val="462D6625"/>
    <w:rsid w:val="4641D2C2"/>
    <w:rsid w:val="46441872"/>
    <w:rsid w:val="473D13F1"/>
    <w:rsid w:val="4741EDFD"/>
    <w:rsid w:val="475B165A"/>
    <w:rsid w:val="479923F2"/>
    <w:rsid w:val="47FE5DF9"/>
    <w:rsid w:val="4807B74F"/>
    <w:rsid w:val="49E3A3CA"/>
    <w:rsid w:val="4B04E573"/>
    <w:rsid w:val="4B339646"/>
    <w:rsid w:val="4BFF220C"/>
    <w:rsid w:val="4C485191"/>
    <w:rsid w:val="4DD4DF13"/>
    <w:rsid w:val="4E189CA7"/>
    <w:rsid w:val="50084970"/>
    <w:rsid w:val="51960DB2"/>
    <w:rsid w:val="533DAC7B"/>
    <w:rsid w:val="53BFF24C"/>
    <w:rsid w:val="54536376"/>
    <w:rsid w:val="55308E1B"/>
    <w:rsid w:val="5667768B"/>
    <w:rsid w:val="56AD46D4"/>
    <w:rsid w:val="5823AF56"/>
    <w:rsid w:val="58D7AFCF"/>
    <w:rsid w:val="58F3FF81"/>
    <w:rsid w:val="58F7DACD"/>
    <w:rsid w:val="592AA640"/>
    <w:rsid w:val="59633CD4"/>
    <w:rsid w:val="5A758375"/>
    <w:rsid w:val="5A7F9B0F"/>
    <w:rsid w:val="5A965588"/>
    <w:rsid w:val="5AE5E4D8"/>
    <w:rsid w:val="5B53BA75"/>
    <w:rsid w:val="5B743CCB"/>
    <w:rsid w:val="5C2A7C33"/>
    <w:rsid w:val="5C491EA5"/>
    <w:rsid w:val="5CA8266D"/>
    <w:rsid w:val="5CB67510"/>
    <w:rsid w:val="5DC4ADF6"/>
    <w:rsid w:val="5DCF40D1"/>
    <w:rsid w:val="5E728870"/>
    <w:rsid w:val="5E8BB0CD"/>
    <w:rsid w:val="5E9F305C"/>
    <w:rsid w:val="5F51E8D5"/>
    <w:rsid w:val="5F5D9406"/>
    <w:rsid w:val="60B3A42A"/>
    <w:rsid w:val="60EDB936"/>
    <w:rsid w:val="6106E193"/>
    <w:rsid w:val="612F874C"/>
    <w:rsid w:val="61B6DB8C"/>
    <w:rsid w:val="62149F1E"/>
    <w:rsid w:val="6240FBC9"/>
    <w:rsid w:val="624F748B"/>
    <w:rsid w:val="629E5FDD"/>
    <w:rsid w:val="6348426D"/>
    <w:rsid w:val="63859324"/>
    <w:rsid w:val="63EB44EC"/>
    <w:rsid w:val="63F5F487"/>
    <w:rsid w:val="6530A61E"/>
    <w:rsid w:val="65C023A2"/>
    <w:rsid w:val="675BF403"/>
    <w:rsid w:val="67DAADFF"/>
    <w:rsid w:val="6843CD08"/>
    <w:rsid w:val="685CF565"/>
    <w:rsid w:val="68D8B2AE"/>
    <w:rsid w:val="6908FF3B"/>
    <w:rsid w:val="6974B7F8"/>
    <w:rsid w:val="69DF9D69"/>
    <w:rsid w:val="6A9DAC5F"/>
    <w:rsid w:val="6B949627"/>
    <w:rsid w:val="6C163CC9"/>
    <w:rsid w:val="6C2F6526"/>
    <w:rsid w:val="6DA9D078"/>
    <w:rsid w:val="6DAA97EE"/>
    <w:rsid w:val="6DB20D2A"/>
    <w:rsid w:val="6DC0B9E0"/>
    <w:rsid w:val="6DD54D21"/>
    <w:rsid w:val="6DFF2EAF"/>
    <w:rsid w:val="6E0583F3"/>
    <w:rsid w:val="6EEB041C"/>
    <w:rsid w:val="6F852DA1"/>
    <w:rsid w:val="70372B52"/>
    <w:rsid w:val="7085A547"/>
    <w:rsid w:val="70C33CB8"/>
    <w:rsid w:val="710CEDE3"/>
    <w:rsid w:val="71D58359"/>
    <w:rsid w:val="727E0911"/>
    <w:rsid w:val="72970DC7"/>
    <w:rsid w:val="738DB5ED"/>
    <w:rsid w:val="747241DA"/>
    <w:rsid w:val="747A42A2"/>
    <w:rsid w:val="752C8330"/>
    <w:rsid w:val="757471A3"/>
    <w:rsid w:val="75EB5B1B"/>
    <w:rsid w:val="760E123B"/>
    <w:rsid w:val="7618589D"/>
    <w:rsid w:val="7652C2B6"/>
    <w:rsid w:val="766A925D"/>
    <w:rsid w:val="76F9E7A8"/>
    <w:rsid w:val="777217CD"/>
    <w:rsid w:val="78377C06"/>
    <w:rsid w:val="7844C4DD"/>
    <w:rsid w:val="7866E177"/>
    <w:rsid w:val="78B2D0E2"/>
    <w:rsid w:val="78CE4E9D"/>
    <w:rsid w:val="7916DB70"/>
    <w:rsid w:val="79A2331F"/>
    <w:rsid w:val="7A4DC8FB"/>
    <w:rsid w:val="7ABF21D4"/>
    <w:rsid w:val="7B27972F"/>
    <w:rsid w:val="7B53FD39"/>
    <w:rsid w:val="7B8559DC"/>
    <w:rsid w:val="7B958DFC"/>
    <w:rsid w:val="7CC36790"/>
    <w:rsid w:val="7CD9D3E1"/>
    <w:rsid w:val="7D183600"/>
    <w:rsid w:val="7D1A0F10"/>
    <w:rsid w:val="7D315E5D"/>
    <w:rsid w:val="7D3A529A"/>
    <w:rsid w:val="7D5E34A1"/>
    <w:rsid w:val="7DFFFBC3"/>
    <w:rsid w:val="7E5C7BE5"/>
    <w:rsid w:val="7EEBD130"/>
    <w:rsid w:val="7F207ECF"/>
    <w:rsid w:val="7F7D29B2"/>
    <w:rsid w:val="7F81CB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2A66A9"/>
  <w15:chartTrackingRefBased/>
  <w15:docId w15:val="{DDF6AC80-6B16-4BF1-A34F-24FBD6DC2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78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FootnoteText">
    <w:name w:val="footnote text"/>
    <w:basedOn w:val="Normal"/>
    <w:link w:val="FootnoteTextChar"/>
    <w:uiPriority w:val="99"/>
    <w:semiHidden/>
    <w:unhideWhenUsed/>
    <w:rsid w:val="00D071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7157"/>
    <w:rPr>
      <w:sz w:val="20"/>
      <w:szCs w:val="20"/>
    </w:rPr>
  </w:style>
  <w:style w:type="character" w:styleId="FootnoteReference">
    <w:name w:val="footnote reference"/>
    <w:basedOn w:val="DefaultParagraphFont"/>
    <w:uiPriority w:val="99"/>
    <w:semiHidden/>
    <w:unhideWhenUsed/>
    <w:rsid w:val="00D07157"/>
    <w:rPr>
      <w:vertAlign w:val="superscript"/>
    </w:rPr>
  </w:style>
  <w:style w:type="character" w:styleId="Hyperlink">
    <w:name w:val="Hyperlink"/>
    <w:basedOn w:val="DefaultParagraphFont"/>
    <w:uiPriority w:val="99"/>
    <w:unhideWhenUsed/>
    <w:rsid w:val="00D07157"/>
    <w:rPr>
      <w:color w:val="0563C1" w:themeColor="hyperlink"/>
      <w:u w:val="single"/>
    </w:rPr>
  </w:style>
  <w:style w:type="character" w:styleId="UnresolvedMention">
    <w:name w:val="Unresolved Mention"/>
    <w:basedOn w:val="DefaultParagraphFont"/>
    <w:uiPriority w:val="99"/>
    <w:semiHidden/>
    <w:unhideWhenUsed/>
    <w:rsid w:val="00D07157"/>
    <w:rPr>
      <w:color w:val="605E5C"/>
      <w:shd w:val="clear" w:color="auto" w:fill="E1DFDD"/>
    </w:rPr>
  </w:style>
  <w:style w:type="paragraph" w:styleId="Title">
    <w:name w:val="Title"/>
    <w:basedOn w:val="Normal"/>
    <w:next w:val="Normal"/>
    <w:link w:val="TitleChar"/>
    <w:uiPriority w:val="10"/>
    <w:qFormat/>
    <w:rsid w:val="00F85E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5EF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77857"/>
    <w:rPr>
      <w:rFonts w:asciiTheme="majorHAnsi" w:eastAsiaTheme="majorEastAsia" w:hAnsiTheme="majorHAnsi" w:cstheme="majorBidi"/>
      <w:color w:val="2F5496" w:themeColor="accent1" w:themeShade="BF"/>
      <w:sz w:val="32"/>
      <w:szCs w:val="32"/>
    </w:rPr>
  </w:style>
  <w:style w:type="paragraph" w:styleId="CommentSubject">
    <w:name w:val="annotation subject"/>
    <w:basedOn w:val="CommentText"/>
    <w:next w:val="CommentText"/>
    <w:link w:val="CommentSubjectChar"/>
    <w:uiPriority w:val="99"/>
    <w:semiHidden/>
    <w:unhideWhenUsed/>
    <w:rsid w:val="001328E0"/>
    <w:rPr>
      <w:b/>
      <w:bCs/>
    </w:rPr>
  </w:style>
  <w:style w:type="character" w:customStyle="1" w:styleId="CommentSubjectChar">
    <w:name w:val="Comment Subject Char"/>
    <w:basedOn w:val="CommentTextChar"/>
    <w:link w:val="CommentSubject"/>
    <w:uiPriority w:val="99"/>
    <w:semiHidden/>
    <w:rsid w:val="001328E0"/>
    <w:rPr>
      <w:b/>
      <w:bCs/>
      <w:sz w:val="20"/>
      <w:szCs w:val="20"/>
    </w:rPr>
  </w:style>
  <w:style w:type="character" w:styleId="FollowedHyperlink">
    <w:name w:val="FollowedHyperlink"/>
    <w:basedOn w:val="DefaultParagraphFont"/>
    <w:uiPriority w:val="99"/>
    <w:semiHidden/>
    <w:unhideWhenUsed/>
    <w:rsid w:val="001156DF"/>
    <w:rPr>
      <w:color w:val="954F72" w:themeColor="followedHyperlink"/>
      <w:u w:val="single"/>
    </w:rPr>
  </w:style>
  <w:style w:type="character" w:styleId="PageNumber">
    <w:name w:val="page number"/>
    <w:basedOn w:val="DefaultParagraphFont"/>
    <w:uiPriority w:val="99"/>
    <w:semiHidden/>
    <w:unhideWhenUsed/>
    <w:rsid w:val="009164CA"/>
  </w:style>
  <w:style w:type="paragraph" w:styleId="NoSpacing">
    <w:name w:val="No Spacing"/>
    <w:uiPriority w:val="1"/>
    <w:qFormat/>
    <w:rsid w:val="00336A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760718">
      <w:bodyDiv w:val="1"/>
      <w:marLeft w:val="0"/>
      <w:marRight w:val="0"/>
      <w:marTop w:val="0"/>
      <w:marBottom w:val="0"/>
      <w:divBdr>
        <w:top w:val="none" w:sz="0" w:space="0" w:color="auto"/>
        <w:left w:val="none" w:sz="0" w:space="0" w:color="auto"/>
        <w:bottom w:val="none" w:sz="0" w:space="0" w:color="auto"/>
        <w:right w:val="none" w:sz="0" w:space="0" w:color="auto"/>
      </w:divBdr>
    </w:div>
    <w:div w:id="649793004">
      <w:bodyDiv w:val="1"/>
      <w:marLeft w:val="0"/>
      <w:marRight w:val="0"/>
      <w:marTop w:val="0"/>
      <w:marBottom w:val="0"/>
      <w:divBdr>
        <w:top w:val="none" w:sz="0" w:space="0" w:color="auto"/>
        <w:left w:val="none" w:sz="0" w:space="0" w:color="auto"/>
        <w:bottom w:val="none" w:sz="0" w:space="0" w:color="auto"/>
        <w:right w:val="none" w:sz="0" w:space="0" w:color="auto"/>
      </w:divBdr>
    </w:div>
    <w:div w:id="1147209174">
      <w:bodyDiv w:val="1"/>
      <w:marLeft w:val="0"/>
      <w:marRight w:val="0"/>
      <w:marTop w:val="0"/>
      <w:marBottom w:val="0"/>
      <w:divBdr>
        <w:top w:val="none" w:sz="0" w:space="0" w:color="auto"/>
        <w:left w:val="none" w:sz="0" w:space="0" w:color="auto"/>
        <w:bottom w:val="none" w:sz="0" w:space="0" w:color="auto"/>
        <w:right w:val="none" w:sz="0" w:space="0" w:color="auto"/>
      </w:divBdr>
    </w:div>
    <w:div w:id="1360744237">
      <w:bodyDiv w:val="1"/>
      <w:marLeft w:val="0"/>
      <w:marRight w:val="0"/>
      <w:marTop w:val="0"/>
      <w:marBottom w:val="0"/>
      <w:divBdr>
        <w:top w:val="none" w:sz="0" w:space="0" w:color="auto"/>
        <w:left w:val="none" w:sz="0" w:space="0" w:color="auto"/>
        <w:bottom w:val="none" w:sz="0" w:space="0" w:color="auto"/>
        <w:right w:val="none" w:sz="0" w:space="0" w:color="auto"/>
      </w:divBdr>
    </w:div>
    <w:div w:id="2015256820">
      <w:bodyDiv w:val="1"/>
      <w:marLeft w:val="0"/>
      <w:marRight w:val="0"/>
      <w:marTop w:val="0"/>
      <w:marBottom w:val="0"/>
      <w:divBdr>
        <w:top w:val="none" w:sz="0" w:space="0" w:color="auto"/>
        <w:left w:val="none" w:sz="0" w:space="0" w:color="auto"/>
        <w:bottom w:val="none" w:sz="0" w:space="0" w:color="auto"/>
        <w:right w:val="none" w:sz="0" w:space="0" w:color="auto"/>
      </w:divBdr>
      <w:divsChild>
        <w:div w:id="1188104587">
          <w:marLeft w:val="0"/>
          <w:marRight w:val="0"/>
          <w:marTop w:val="0"/>
          <w:marBottom w:val="0"/>
          <w:divBdr>
            <w:top w:val="none" w:sz="0" w:space="0" w:color="auto"/>
            <w:left w:val="none" w:sz="0" w:space="0" w:color="auto"/>
            <w:bottom w:val="none" w:sz="0" w:space="0" w:color="auto"/>
            <w:right w:val="none" w:sz="0" w:space="0" w:color="auto"/>
          </w:divBdr>
          <w:divsChild>
            <w:div w:id="2110155005">
              <w:marLeft w:val="0"/>
              <w:marRight w:val="0"/>
              <w:marTop w:val="0"/>
              <w:marBottom w:val="0"/>
              <w:divBdr>
                <w:top w:val="none" w:sz="0" w:space="0" w:color="auto"/>
                <w:left w:val="none" w:sz="0" w:space="0" w:color="auto"/>
                <w:bottom w:val="none" w:sz="0" w:space="0" w:color="auto"/>
                <w:right w:val="none" w:sz="0" w:space="0" w:color="auto"/>
              </w:divBdr>
              <w:divsChild>
                <w:div w:id="1630014498">
                  <w:marLeft w:val="0"/>
                  <w:marRight w:val="0"/>
                  <w:marTop w:val="0"/>
                  <w:marBottom w:val="0"/>
                  <w:divBdr>
                    <w:top w:val="none" w:sz="0" w:space="0" w:color="auto"/>
                    <w:left w:val="none" w:sz="0" w:space="0" w:color="auto"/>
                    <w:bottom w:val="none" w:sz="0" w:space="0" w:color="auto"/>
                    <w:right w:val="none" w:sz="0" w:space="0" w:color="auto"/>
                  </w:divBdr>
                  <w:divsChild>
                    <w:div w:id="266889766">
                      <w:marLeft w:val="0"/>
                      <w:marRight w:val="0"/>
                      <w:marTop w:val="0"/>
                      <w:marBottom w:val="0"/>
                      <w:divBdr>
                        <w:top w:val="none" w:sz="0" w:space="0" w:color="auto"/>
                        <w:left w:val="none" w:sz="0" w:space="0" w:color="auto"/>
                        <w:bottom w:val="none" w:sz="0" w:space="0" w:color="auto"/>
                        <w:right w:val="none" w:sz="0" w:space="0" w:color="auto"/>
                      </w:divBdr>
                      <w:divsChild>
                        <w:div w:id="1517842714">
                          <w:marLeft w:val="120"/>
                          <w:marRight w:val="300"/>
                          <w:marTop w:val="120"/>
                          <w:marBottom w:val="120"/>
                          <w:divBdr>
                            <w:top w:val="none" w:sz="0" w:space="0" w:color="auto"/>
                            <w:left w:val="none" w:sz="0" w:space="0" w:color="auto"/>
                            <w:bottom w:val="none" w:sz="0" w:space="0" w:color="auto"/>
                            <w:right w:val="none" w:sz="0" w:space="0" w:color="auto"/>
                          </w:divBdr>
                          <w:divsChild>
                            <w:div w:id="146631963">
                              <w:marLeft w:val="660"/>
                              <w:marRight w:val="240"/>
                              <w:marTop w:val="180"/>
                              <w:marBottom w:val="0"/>
                              <w:divBdr>
                                <w:top w:val="none" w:sz="0" w:space="0" w:color="auto"/>
                                <w:left w:val="none" w:sz="0" w:space="0" w:color="auto"/>
                                <w:bottom w:val="none" w:sz="0" w:space="0" w:color="auto"/>
                                <w:right w:val="none" w:sz="0" w:space="0" w:color="auto"/>
                              </w:divBdr>
                              <w:divsChild>
                                <w:div w:id="904606490">
                                  <w:marLeft w:val="0"/>
                                  <w:marRight w:val="0"/>
                                  <w:marTop w:val="0"/>
                                  <w:marBottom w:val="0"/>
                                  <w:divBdr>
                                    <w:top w:val="none" w:sz="0" w:space="0" w:color="auto"/>
                                    <w:left w:val="none" w:sz="0" w:space="0" w:color="auto"/>
                                    <w:bottom w:val="none" w:sz="0" w:space="0" w:color="auto"/>
                                    <w:right w:val="none" w:sz="0" w:space="0" w:color="auto"/>
                                  </w:divBdr>
                                  <w:divsChild>
                                    <w:div w:id="1406487769">
                                      <w:marLeft w:val="0"/>
                                      <w:marRight w:val="0"/>
                                      <w:marTop w:val="0"/>
                                      <w:marBottom w:val="0"/>
                                      <w:divBdr>
                                        <w:top w:val="none" w:sz="0" w:space="0" w:color="auto"/>
                                        <w:left w:val="none" w:sz="0" w:space="0" w:color="auto"/>
                                        <w:bottom w:val="none" w:sz="0" w:space="0" w:color="auto"/>
                                        <w:right w:val="none" w:sz="0" w:space="0" w:color="auto"/>
                                      </w:divBdr>
                                      <w:divsChild>
                                        <w:div w:id="1805922653">
                                          <w:marLeft w:val="0"/>
                                          <w:marRight w:val="0"/>
                                          <w:marTop w:val="0"/>
                                          <w:marBottom w:val="0"/>
                                          <w:divBdr>
                                            <w:top w:val="none" w:sz="0" w:space="0" w:color="auto"/>
                                            <w:left w:val="none" w:sz="0" w:space="0" w:color="auto"/>
                                            <w:bottom w:val="none" w:sz="0" w:space="0" w:color="auto"/>
                                            <w:right w:val="none" w:sz="0" w:space="0" w:color="auto"/>
                                          </w:divBdr>
                                          <w:divsChild>
                                            <w:div w:id="16966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5964906">
          <w:marLeft w:val="0"/>
          <w:marRight w:val="0"/>
          <w:marTop w:val="0"/>
          <w:marBottom w:val="0"/>
          <w:divBdr>
            <w:top w:val="none" w:sz="0" w:space="0" w:color="auto"/>
            <w:left w:val="none" w:sz="0" w:space="0" w:color="auto"/>
            <w:bottom w:val="none" w:sz="0" w:space="0" w:color="auto"/>
            <w:right w:val="none" w:sz="0" w:space="0" w:color="auto"/>
          </w:divBdr>
          <w:divsChild>
            <w:div w:id="1687827736">
              <w:marLeft w:val="0"/>
              <w:marRight w:val="0"/>
              <w:marTop w:val="0"/>
              <w:marBottom w:val="0"/>
              <w:divBdr>
                <w:top w:val="none" w:sz="0" w:space="0" w:color="auto"/>
                <w:left w:val="none" w:sz="0" w:space="0" w:color="auto"/>
                <w:bottom w:val="none" w:sz="0" w:space="0" w:color="auto"/>
                <w:right w:val="none" w:sz="0" w:space="0" w:color="auto"/>
              </w:divBdr>
              <w:divsChild>
                <w:div w:id="1219125417">
                  <w:marLeft w:val="0"/>
                  <w:marRight w:val="0"/>
                  <w:marTop w:val="0"/>
                  <w:marBottom w:val="0"/>
                  <w:divBdr>
                    <w:top w:val="none" w:sz="0" w:space="0" w:color="auto"/>
                    <w:left w:val="none" w:sz="0" w:space="0" w:color="auto"/>
                    <w:bottom w:val="none" w:sz="0" w:space="0" w:color="auto"/>
                    <w:right w:val="none" w:sz="0" w:space="0" w:color="auto"/>
                  </w:divBdr>
                  <w:divsChild>
                    <w:div w:id="1110589286">
                      <w:marLeft w:val="0"/>
                      <w:marRight w:val="0"/>
                      <w:marTop w:val="0"/>
                      <w:marBottom w:val="0"/>
                      <w:divBdr>
                        <w:top w:val="none" w:sz="0" w:space="0" w:color="auto"/>
                        <w:left w:val="none" w:sz="0" w:space="0" w:color="auto"/>
                        <w:bottom w:val="none" w:sz="0" w:space="0" w:color="auto"/>
                        <w:right w:val="none" w:sz="0" w:space="0" w:color="auto"/>
                      </w:divBdr>
                      <w:divsChild>
                        <w:div w:id="1535119329">
                          <w:marLeft w:val="120"/>
                          <w:marRight w:val="300"/>
                          <w:marTop w:val="120"/>
                          <w:marBottom w:val="120"/>
                          <w:divBdr>
                            <w:top w:val="none" w:sz="0" w:space="0" w:color="auto"/>
                            <w:left w:val="none" w:sz="0" w:space="0" w:color="auto"/>
                            <w:bottom w:val="none" w:sz="0" w:space="0" w:color="auto"/>
                            <w:right w:val="none" w:sz="0" w:space="0" w:color="auto"/>
                          </w:divBdr>
                          <w:divsChild>
                            <w:div w:id="1676809376">
                              <w:marLeft w:val="0"/>
                              <w:marRight w:val="0"/>
                              <w:marTop w:val="0"/>
                              <w:marBottom w:val="0"/>
                              <w:divBdr>
                                <w:top w:val="none" w:sz="0" w:space="0" w:color="auto"/>
                                <w:left w:val="none" w:sz="0" w:space="0" w:color="auto"/>
                                <w:bottom w:val="none" w:sz="0" w:space="0" w:color="auto"/>
                                <w:right w:val="none" w:sz="0" w:space="0" w:color="auto"/>
                              </w:divBdr>
                              <w:divsChild>
                                <w:div w:id="1494490678">
                                  <w:marLeft w:val="0"/>
                                  <w:marRight w:val="120"/>
                                  <w:marTop w:val="0"/>
                                  <w:marBottom w:val="0"/>
                                  <w:divBdr>
                                    <w:top w:val="none" w:sz="0" w:space="0" w:color="auto"/>
                                    <w:left w:val="none" w:sz="0" w:space="0" w:color="auto"/>
                                    <w:bottom w:val="none" w:sz="0" w:space="0" w:color="auto"/>
                                    <w:right w:val="none" w:sz="0" w:space="0" w:color="auto"/>
                                  </w:divBdr>
                                  <w:divsChild>
                                    <w:div w:id="1827427793">
                                      <w:marLeft w:val="0"/>
                                      <w:marRight w:val="0"/>
                                      <w:marTop w:val="0"/>
                                      <w:marBottom w:val="0"/>
                                      <w:divBdr>
                                        <w:top w:val="none" w:sz="0" w:space="0" w:color="auto"/>
                                        <w:left w:val="none" w:sz="0" w:space="0" w:color="auto"/>
                                        <w:bottom w:val="none" w:sz="0" w:space="0" w:color="auto"/>
                                        <w:right w:val="none" w:sz="0" w:space="0" w:color="auto"/>
                                      </w:divBdr>
                                      <w:divsChild>
                                        <w:div w:id="56526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9126">
                                  <w:marLeft w:val="660"/>
                                  <w:marRight w:val="0"/>
                                  <w:marTop w:val="0"/>
                                  <w:marBottom w:val="0"/>
                                  <w:divBdr>
                                    <w:top w:val="none" w:sz="0" w:space="0" w:color="auto"/>
                                    <w:left w:val="none" w:sz="0" w:space="0" w:color="auto"/>
                                    <w:bottom w:val="none" w:sz="0" w:space="0" w:color="auto"/>
                                    <w:right w:val="none" w:sz="0" w:space="0" w:color="auto"/>
                                  </w:divBdr>
                                  <w:divsChild>
                                    <w:div w:id="878054662">
                                      <w:marLeft w:val="0"/>
                                      <w:marRight w:val="0"/>
                                      <w:marTop w:val="0"/>
                                      <w:marBottom w:val="0"/>
                                      <w:divBdr>
                                        <w:top w:val="none" w:sz="0" w:space="0" w:color="auto"/>
                                        <w:left w:val="none" w:sz="0" w:space="0" w:color="auto"/>
                                        <w:bottom w:val="none" w:sz="0" w:space="0" w:color="auto"/>
                                        <w:right w:val="none" w:sz="0" w:space="0" w:color="auto"/>
                                      </w:divBdr>
                                      <w:divsChild>
                                        <w:div w:id="55824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nwenergy.org/wp-content/uploads/2022/05/2022-05-LSR-Dam-Replacement-Study-Full-Deck-Final-to-Client-220518.pdf" TargetMode="External"/><Relationship Id="rId2" Type="http://schemas.openxmlformats.org/officeDocument/2006/relationships/hyperlink" Target="https://www.federalregister.gov/documents/2020/10/08/2020-22147/record-of-decision-columbia-river-system-operations-environmental-impact-statement" TargetMode="External"/><Relationship Id="rId1" Type="http://schemas.openxmlformats.org/officeDocument/2006/relationships/hyperlink" Target="https://www.bpa.gov/-/media/Aep/finance/integrated-program-review/bp-22-ipr/20200612-BP-22-IPR-Initial-Detailed-Publication.pdf" TargetMode="External"/><Relationship Id="rId6" Type="http://schemas.openxmlformats.org/officeDocument/2006/relationships/hyperlink" Target="https://www.energymonitor.ai/tech/energy-storage/can-flow-batteries-supercharge-the-energy-transition" TargetMode="External"/><Relationship Id="rId5" Type="http://schemas.openxmlformats.org/officeDocument/2006/relationships/hyperlink" Target="https://denvergazette.com/premium/lockheed-martin-gets-contract-to-build-long-lasting-battery-storage-system-at-fort-carson/article_4e4e7f54-f1a0-11ec-bf6e-f71b9655ff66.html" TargetMode="External"/><Relationship Id="rId4" Type="http://schemas.openxmlformats.org/officeDocument/2006/relationships/hyperlink" Target="https://www.utilitydive.com/news/energy-storage-soars-despite-international-supply-chain-lithium-challenges/625865/"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0A9927EC6631A4D97F2C06DA86F621B" ma:contentTypeVersion="13" ma:contentTypeDescription="Create a new document." ma:contentTypeScope="" ma:versionID="43ecbf427307e867e1d4dd2283d9fd8f">
  <xsd:schema xmlns:xsd="http://www.w3.org/2001/XMLSchema" xmlns:xs="http://www.w3.org/2001/XMLSchema" xmlns:p="http://schemas.microsoft.com/office/2006/metadata/properties" xmlns:ns2="7eb11a12-938b-4be3-a193-aeea27d75d8c" xmlns:ns3="5cc0d081-949c-4833-956e-2c6062dd5542" targetNamespace="http://schemas.microsoft.com/office/2006/metadata/properties" ma:root="true" ma:fieldsID="96696cb20460819fb565f17ca3aae85e" ns2:_="" ns3:_="">
    <xsd:import namespace="7eb11a12-938b-4be3-a193-aeea27d75d8c"/>
    <xsd:import namespace="5cc0d081-949c-4833-956e-2c6062dd554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11a12-938b-4be3-a193-aeea27d75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c0d081-949c-4833-956e-2c6062dd554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4861E3-F71E-4F7B-923B-48C53708B927}">
  <ds:schemaRefs>
    <ds:schemaRef ds:uri="http://schemas.microsoft.com/sharepoint/v3/contenttype/forms"/>
  </ds:schemaRefs>
</ds:datastoreItem>
</file>

<file path=customXml/itemProps2.xml><?xml version="1.0" encoding="utf-8"?>
<ds:datastoreItem xmlns:ds="http://schemas.openxmlformats.org/officeDocument/2006/customXml" ds:itemID="{901CF70E-F57E-457E-B533-48B4AC9E9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11a12-938b-4be3-a193-aeea27d75d8c"/>
    <ds:schemaRef ds:uri="5cc0d081-949c-4833-956e-2c6062dd55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33AFAB-9612-4387-AD4B-F1EA14077BF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2863</Words>
  <Characters>16325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Connolly</dc:creator>
  <cp:keywords/>
  <dc:description/>
  <cp:lastModifiedBy>Chris Connolly</cp:lastModifiedBy>
  <cp:revision>6</cp:revision>
  <dcterms:created xsi:type="dcterms:W3CDTF">2022-07-08T17:14:00Z</dcterms:created>
  <dcterms:modified xsi:type="dcterms:W3CDTF">2022-07-11T19:31:00Z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0x010100B0A9927EC6631A4D97F2C06DA86F621B</vt:lpwstr>
  </property>
</Properties>
</file>